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E9A9B" w14:textId="77777777" w:rsidR="00870291" w:rsidRPr="00CA07BE" w:rsidRDefault="00CD17B6"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b/>
          <w:bCs/>
          <w:color w:val="000000"/>
        </w:rPr>
        <w:t>Unit 7 Assignment Activity</w:t>
      </w:r>
    </w:p>
    <w:p w14:paraId="18DB5B15" w14:textId="77777777" w:rsidR="00CA07BE" w:rsidRDefault="00CA07BE" w:rsidP="00CA07BE">
      <w:pPr>
        <w:spacing w:before="60" w:after="60" w:line="480" w:lineRule="auto"/>
        <w:jc w:val="center"/>
        <w:rPr>
          <w:rFonts w:ascii="Times New Roman" w:eastAsia="Cambria" w:hAnsi="Times New Roman" w:cs="Times New Roman"/>
          <w:color w:val="000000"/>
        </w:rPr>
      </w:pPr>
    </w:p>
    <w:p w14:paraId="2A09D096" w14:textId="77777777" w:rsidR="00CA07BE" w:rsidRDefault="00CA07BE" w:rsidP="00CA07BE">
      <w:pPr>
        <w:spacing w:before="60" w:after="60" w:line="480" w:lineRule="auto"/>
        <w:jc w:val="center"/>
        <w:rPr>
          <w:rFonts w:ascii="Times New Roman" w:eastAsia="Cambria" w:hAnsi="Times New Roman" w:cs="Times New Roman"/>
          <w:color w:val="000000"/>
        </w:rPr>
      </w:pPr>
    </w:p>
    <w:p w14:paraId="25F8FF10" w14:textId="77777777" w:rsidR="00CA07BE" w:rsidRDefault="00CA07BE" w:rsidP="00CA07BE">
      <w:pPr>
        <w:spacing w:before="60" w:after="60" w:line="480" w:lineRule="auto"/>
        <w:jc w:val="center"/>
        <w:rPr>
          <w:rFonts w:ascii="Times New Roman" w:eastAsia="Cambria" w:hAnsi="Times New Roman" w:cs="Times New Roman"/>
          <w:color w:val="000000"/>
        </w:rPr>
      </w:pPr>
    </w:p>
    <w:p w14:paraId="138E8EBD" w14:textId="77777777" w:rsidR="00CA07BE" w:rsidRDefault="00CA07BE" w:rsidP="00CA07BE">
      <w:pPr>
        <w:spacing w:before="60" w:after="60" w:line="480" w:lineRule="auto"/>
        <w:jc w:val="center"/>
        <w:rPr>
          <w:rFonts w:ascii="Times New Roman" w:eastAsia="Cambria" w:hAnsi="Times New Roman" w:cs="Times New Roman"/>
          <w:color w:val="000000"/>
        </w:rPr>
      </w:pPr>
    </w:p>
    <w:p w14:paraId="1C83D22C" w14:textId="77777777" w:rsidR="00CA07BE" w:rsidRDefault="00CA07BE" w:rsidP="00CA07BE">
      <w:pPr>
        <w:spacing w:before="60" w:after="60" w:line="480" w:lineRule="auto"/>
        <w:jc w:val="center"/>
        <w:rPr>
          <w:rFonts w:ascii="Times New Roman" w:eastAsia="Cambria" w:hAnsi="Times New Roman" w:cs="Times New Roman"/>
          <w:color w:val="000000"/>
        </w:rPr>
      </w:pPr>
    </w:p>
    <w:p w14:paraId="34AF604E" w14:textId="77777777" w:rsidR="00CA07BE" w:rsidRDefault="00CA07BE" w:rsidP="00CA07BE">
      <w:pPr>
        <w:spacing w:before="60" w:after="60" w:line="480" w:lineRule="auto"/>
        <w:jc w:val="center"/>
        <w:rPr>
          <w:rFonts w:ascii="Times New Roman" w:eastAsia="Cambria" w:hAnsi="Times New Roman" w:cs="Times New Roman"/>
          <w:color w:val="000000"/>
        </w:rPr>
      </w:pPr>
    </w:p>
    <w:p w14:paraId="0B7CDB05" w14:textId="77777777" w:rsidR="00CA07BE" w:rsidRDefault="00CA07BE" w:rsidP="00CA07BE">
      <w:pPr>
        <w:spacing w:before="60" w:after="60" w:line="480" w:lineRule="auto"/>
        <w:jc w:val="center"/>
        <w:rPr>
          <w:rFonts w:ascii="Times New Roman" w:eastAsia="Cambria" w:hAnsi="Times New Roman" w:cs="Times New Roman"/>
          <w:color w:val="000000"/>
        </w:rPr>
      </w:pPr>
    </w:p>
    <w:p w14:paraId="06002635" w14:textId="77777777" w:rsidR="00CA07BE" w:rsidRDefault="00CA07BE" w:rsidP="00CA07BE">
      <w:pPr>
        <w:spacing w:before="60" w:after="60" w:line="480" w:lineRule="auto"/>
        <w:jc w:val="center"/>
        <w:rPr>
          <w:rFonts w:ascii="Times New Roman" w:eastAsia="Cambria" w:hAnsi="Times New Roman" w:cs="Times New Roman"/>
          <w:color w:val="000000"/>
        </w:rPr>
      </w:pPr>
    </w:p>
    <w:p w14:paraId="322E9A9C" w14:textId="0C1A2FF8" w:rsidR="00870291" w:rsidRPr="00CA07BE" w:rsidRDefault="00CD17B6"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color w:val="000000"/>
        </w:rPr>
        <w:t>William R. Lawson</w:t>
      </w:r>
    </w:p>
    <w:p w14:paraId="322E9A9D" w14:textId="77777777" w:rsidR="00870291" w:rsidRPr="00CA07BE" w:rsidRDefault="00CD17B6"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color w:val="000000"/>
        </w:rPr>
        <w:t>MSIT 5910-01 Capstone Project</w:t>
      </w:r>
    </w:p>
    <w:p w14:paraId="322E9A9E" w14:textId="77777777" w:rsidR="00870291" w:rsidRPr="00CA07BE" w:rsidRDefault="00CD17B6"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color w:val="000000"/>
        </w:rPr>
        <w:t>University of the People</w:t>
      </w:r>
    </w:p>
    <w:p w14:paraId="322E9A9F" w14:textId="77777777" w:rsidR="00870291" w:rsidRPr="00CA07BE" w:rsidRDefault="00CD17B6"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color w:val="000000"/>
        </w:rPr>
        <w:t>Instructor: Dr. Shabia Shabir</w:t>
      </w:r>
    </w:p>
    <w:p w14:paraId="322E9AA0" w14:textId="77777777" w:rsidR="00870291" w:rsidRPr="00CA07BE" w:rsidRDefault="00CD17B6" w:rsidP="00CA07BE">
      <w:pPr>
        <w:spacing w:before="60" w:after="60" w:line="480" w:lineRule="auto"/>
        <w:jc w:val="center"/>
        <w:rPr>
          <w:rFonts w:ascii="Times New Roman" w:eastAsia="Cambria" w:hAnsi="Times New Roman" w:cs="Times New Roman"/>
          <w:color w:val="000000"/>
        </w:rPr>
      </w:pPr>
      <w:r w:rsidRPr="00CA07BE">
        <w:rPr>
          <w:rFonts w:ascii="Times New Roman" w:eastAsia="Cambria" w:hAnsi="Times New Roman" w:cs="Times New Roman"/>
          <w:color w:val="000000"/>
        </w:rPr>
        <w:t>May 2026</w:t>
      </w:r>
    </w:p>
    <w:p w14:paraId="13E94C1E" w14:textId="77777777" w:rsidR="0040679E" w:rsidRDefault="0040679E" w:rsidP="00CA07BE">
      <w:pPr>
        <w:spacing w:before="60" w:after="60" w:line="480" w:lineRule="auto"/>
        <w:jc w:val="center"/>
        <w:rPr>
          <w:rFonts w:ascii="Times New Roman" w:hAnsi="Times New Roman" w:cs="Times New Roman"/>
        </w:rPr>
        <w:sectPr w:rsidR="0040679E">
          <w:pgSz w:w="12240" w:h="15840"/>
          <w:pgMar w:top="1080" w:right="1440" w:bottom="1080" w:left="1440" w:header="708" w:footer="708" w:gutter="0"/>
          <w:cols w:space="720"/>
          <w:docGrid w:linePitch="360"/>
        </w:sectPr>
      </w:pPr>
    </w:p>
    <w:p w14:paraId="322E9AA1" w14:textId="77777777" w:rsidR="00870291" w:rsidRPr="00CA07BE" w:rsidRDefault="00CD17B6" w:rsidP="00CA07BE">
      <w:pPr>
        <w:pStyle w:val="Heading1"/>
        <w:spacing w:before="480" w:after="60" w:line="480" w:lineRule="auto"/>
        <w:jc w:val="center"/>
        <w:rPr>
          <w:rFonts w:ascii="Times New Roman" w:hAnsi="Times New Roman" w:cs="Times New Roman"/>
          <w:sz w:val="24"/>
          <w:szCs w:val="24"/>
        </w:rPr>
      </w:pPr>
      <w:r w:rsidRPr="00CA07BE">
        <w:rPr>
          <w:rFonts w:ascii="Times New Roman" w:eastAsia="Cambria" w:hAnsi="Times New Roman" w:cs="Times New Roman"/>
          <w:sz w:val="24"/>
          <w:szCs w:val="24"/>
        </w:rPr>
        <w:lastRenderedPageBreak/>
        <w:t>Part A: System Testing and Documentation</w:t>
      </w:r>
    </w:p>
    <w:p w14:paraId="322E9AA2" w14:textId="77777777" w:rsidR="00870291" w:rsidRPr="00CA07BE" w:rsidRDefault="00CD17B6"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A1 — System Testing</w:t>
      </w:r>
    </w:p>
    <w:p w14:paraId="322E9AA3"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t>Integration testing verified that all nine modules exchange data correctly across every layer boundary. The SimulationController pipeline was executed at both 5 and 10 events per second per domain, confirming that SecurityEvent objects produced by the DomainEventGenerator were received and sanitized by the CrossDomainGuard, that SanitizedEvent objects were received and processed by the CorrelationEngine, and that dispatched state updates reached all six dashboard panels simultaneously. The CrossDomainGuard's IN=OUT=STRIP invariant was verified by comparing counter values across a 60-second simulation run at each rate, confirming zero boundary violations (Myers et al., 2011).</w:t>
      </w:r>
    </w:p>
    <w:p w14:paraId="322E9AA4"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t>System testing validated end-to-end pipeline behavior under sustained operation. The simulator was run continuously for five minutes at the maximum configured rate of 10 events per second per domain — 30 aggregate events per second — with no dropped events, no interface violations, and no browser console errors. The TypeScript strict-mode build produced zero compile errors across all nine modules, confirming that all interface contracts are satisfied at the system level.</w:t>
      </w:r>
    </w:p>
    <w:p w14:paraId="322E9AA5"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t>Acceptance testing confirmed that the system fulfills the four project objectives as specified in the project proposal: (a) the five-layer architecture aggregates events from three isolated domains; (b) CDS sanitization removes rawPacketBytes from 100% of events; (c) the correlation engine detects 100% of seeded cross-domain ExfilAttempt pairs; and (d) the six-dashboard analytics layer provides real-time cross-domain situational awareness.</w:t>
      </w:r>
    </w:p>
    <w:p w14:paraId="322E9AA6"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AA8" w14:textId="77777777">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AA7" w14:textId="77777777" w:rsidR="00870291" w:rsidRPr="00CA07BE" w:rsidRDefault="00CD17B6" w:rsidP="00CA07BE">
            <w:pPr>
              <w:spacing w:after="120" w:line="480" w:lineRule="auto"/>
              <w:jc w:val="center"/>
              <w:rPr>
                <w:rFonts w:ascii="Times New Roman" w:hAnsi="Times New Roman" w:cs="Times New Roman"/>
              </w:rPr>
            </w:pPr>
            <w:r>
              <w:rPr>
                <w:noProof/>
              </w:rPr>
              <w:lastRenderedPageBreak/>
              <w:drawing>
                <wp:inline distT="0" distB="0" distL="0" distR="0" wp14:anchorId="18E51966" wp14:editId="280C29BC">
                  <wp:extent cx="5303520" cy="4309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7_Figure1_Typecheck.jpg"/>
                          <pic:cNvPicPr/>
                        </pic:nvPicPr>
                        <pic:blipFill>
                          <a:blip r:embed="rId7"/>
                          <a:stretch>
                            <a:fillRect/>
                          </a:stretch>
                        </pic:blipFill>
                        <pic:spPr>
                          <a:xfrm>
                            <a:off x="0" y="0"/>
                            <a:ext cx="5303520" cy="4309110"/>
                          </a:xfrm>
                          <a:prstGeom prst="rect">
                            <a:avLst/>
                          </a:prstGeom>
                        </pic:spPr>
                      </pic:pic>
                    </a:graphicData>
                  </a:graphic>
                </wp:inline>
              </w:drawing>
            </w:r>
          </w:p>
          <w:p w14:paraId="2F3E23F8" w14:textId="5B3D7F14" w:rsidR="00B0158E" w:rsidRDefault="00CD17B6">
            <w:pPr>
              <w:jc w:val="center"/>
            </w:pPr>
            <w:r>
              <w:rPr>
                <w:i/>
                <w:iCs/>
                <w:color w:val="595959"/>
                <w:sz w:val="18"/>
                <w:szCs w:val="18"/>
              </w:rPr>
              <w:t>[FIGURE 1: TypeScript strict-mode compilation terminal output showing 0 errors and 0 warnings across all nine simulator modules — confirming integration-level interface contract compliance]</w:t>
            </w:r>
          </w:p>
        </w:tc>
      </w:tr>
    </w:tbl>
    <w:p w14:paraId="322E9AA9" w14:textId="77777777" w:rsidR="00870291" w:rsidRPr="00CA07BE" w:rsidRDefault="00870291" w:rsidP="00CA07BE">
      <w:pPr>
        <w:spacing w:after="240" w:line="480" w:lineRule="auto"/>
        <w:rPr>
          <w:rFonts w:ascii="Times New Roman" w:hAnsi="Times New Roman" w:cs="Times New Roman"/>
        </w:rPr>
      </w:pPr>
    </w:p>
    <w:p w14:paraId="322E9AAA"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AAC" w14:textId="77777777">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AAB" w14:textId="77777777" w:rsidR="00870291" w:rsidRPr="00CA07BE" w:rsidRDefault="00CD17B6" w:rsidP="00CA07BE">
            <w:pPr>
              <w:spacing w:after="120" w:line="480" w:lineRule="auto"/>
              <w:jc w:val="center"/>
              <w:rPr>
                <w:rFonts w:ascii="Times New Roman" w:hAnsi="Times New Roman" w:cs="Times New Roman"/>
              </w:rPr>
            </w:pPr>
            <w:r>
              <w:rPr>
                <w:noProof/>
              </w:rPr>
              <w:lastRenderedPageBreak/>
              <w:drawing>
                <wp:inline distT="0" distB="0" distL="0" distR="0" wp14:anchorId="75A9D64E" wp14:editId="0F8F5358">
                  <wp:extent cx="5303520" cy="3756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7_Figure2_BrowserConsole.jpg"/>
                          <pic:cNvPicPr/>
                        </pic:nvPicPr>
                        <pic:blipFill>
                          <a:blip r:embed="rId8"/>
                          <a:stretch>
                            <a:fillRect/>
                          </a:stretch>
                        </pic:blipFill>
                        <pic:spPr>
                          <a:xfrm>
                            <a:off x="0" y="0"/>
                            <a:ext cx="5303520" cy="3756660"/>
                          </a:xfrm>
                          <a:prstGeom prst="rect">
                            <a:avLst/>
                          </a:prstGeom>
                        </pic:spPr>
                      </pic:pic>
                    </a:graphicData>
                  </a:graphic>
                </wp:inline>
              </w:drawing>
            </w:r>
          </w:p>
          <w:p w14:paraId="7DF6B5AF" w14:textId="4FF8C84F" w:rsidR="00B0158E" w:rsidRDefault="00CD17B6">
            <w:pPr>
              <w:jc w:val="center"/>
            </w:pPr>
            <w:r>
              <w:rPr>
                <w:i/>
                <w:iCs/>
                <w:color w:val="595959"/>
                <w:sz w:val="18"/>
                <w:szCs w:val="18"/>
              </w:rPr>
              <w:t>[FIGURE 2: Browser console output during a 5-minute system test at 10 events per second per domain, showing no JavaScript errors, no dropped events, and CrossDomainGuard IN/OUT/STRIP counters each at 9,000 after 300 seconds]</w:t>
            </w:r>
          </w:p>
        </w:tc>
      </w:tr>
    </w:tbl>
    <w:p w14:paraId="322E9AAD" w14:textId="77777777" w:rsidR="00870291" w:rsidRPr="00CA07BE" w:rsidRDefault="00870291" w:rsidP="00CA07BE">
      <w:pPr>
        <w:spacing w:after="240" w:line="480" w:lineRule="auto"/>
        <w:rPr>
          <w:rFonts w:ascii="Times New Roman" w:hAnsi="Times New Roman" w:cs="Times New Roman"/>
        </w:rPr>
      </w:pPr>
    </w:p>
    <w:p w14:paraId="322E9AAE" w14:textId="77777777" w:rsidR="00870291" w:rsidRPr="00CA07BE" w:rsidRDefault="00CD17B6"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A2 — Test Documentation</w:t>
      </w:r>
    </w:p>
    <w:p w14:paraId="322E9AAF"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t>The overarching testing objectives for Demo SIEM were fourfold: to verify that (1) all nine modules communicate correctly through TypeScript interface contracts, (2) the CrossDomainGuard enforces the classification boundary without data loss, (3) the CorrelationEngine detects coordinated multi-domain threats with confidence scores above the 0.75 threshold, and (4) the unified dashboard provides accurate, real-time situational awareness across all six analytical panels. These objectives directly correspond to the four deliverable commitments stated in the Unit 2 project proposal, ensuring that testing activities remained tightly scoped to what the project promised to deliver.</w:t>
      </w:r>
    </w:p>
    <w:p w14:paraId="322E9AB0"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lastRenderedPageBreak/>
        <w:t xml:space="preserve">The testing scope encompassed all nine simulator modules: DomainEventGenerator, CrossDomainGuard, CorrelationEngine, DashboardRenderer, SearchModule, ReportGenerator, InvestigationManager, HealthMonitor, and SimulationController. External dependencies — specifically the </w:t>
      </w:r>
      <w:proofErr w:type="spellStart"/>
      <w:r w:rsidRPr="00CA07BE">
        <w:rPr>
          <w:rFonts w:ascii="Times New Roman" w:eastAsia="Cambria" w:hAnsi="Times New Roman" w:cs="Times New Roman"/>
          <w:color w:val="000000"/>
        </w:rPr>
        <w:t>Replit</w:t>
      </w:r>
      <w:proofErr w:type="spellEnd"/>
      <w:r w:rsidRPr="00CA07BE">
        <w:rPr>
          <w:rFonts w:ascii="Times New Roman" w:eastAsia="Cambria" w:hAnsi="Times New Roman" w:cs="Times New Roman"/>
          <w:color w:val="000000"/>
        </w:rPr>
        <w:t xml:space="preserve"> hosting environment and the browser runtime — were treated as fixed infrastructure and were not subjected to unit testing. No formal load testing beyond the maximum configured rate of 10 events per second per domain was performed, as the simulator's intended operational envelope does not exceed this throughput.</w:t>
      </w:r>
    </w:p>
    <w:p w14:paraId="322E9AB1"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t>Seven test cases were executed across the three testing levels. Their descriptions, expected results, actual results, and final status are presented in Table 1 below.</w:t>
      </w:r>
    </w:p>
    <w:p w14:paraId="322E9AB2"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b/>
          <w:bCs/>
          <w:color w:val="000000"/>
        </w:rPr>
        <w:t>Table 1</w:t>
      </w:r>
    </w:p>
    <w:p w14:paraId="322E9AB3" w14:textId="77777777" w:rsidR="00870291" w:rsidRPr="00CA07BE" w:rsidRDefault="00CD17B6" w:rsidP="00CA07BE">
      <w:pPr>
        <w:spacing w:before="60" w:after="80" w:line="480" w:lineRule="auto"/>
        <w:rPr>
          <w:rFonts w:ascii="Times New Roman" w:hAnsi="Times New Roman" w:cs="Times New Roman"/>
        </w:rPr>
      </w:pPr>
      <w:r w:rsidRPr="00CA07BE">
        <w:rPr>
          <w:rFonts w:ascii="Times New Roman" w:eastAsia="Cambria" w:hAnsi="Times New Roman" w:cs="Times New Roman"/>
          <w:i/>
          <w:iCs/>
          <w:color w:val="000000"/>
        </w:rPr>
        <w:t>Test Case Summary</w:t>
      </w:r>
    </w:p>
    <w:p w14:paraId="322E9AB4" w14:textId="77777777" w:rsidR="00870291" w:rsidRPr="00CA07BE" w:rsidRDefault="00870291" w:rsidP="00CA07BE">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556"/>
        <w:gridCol w:w="1137"/>
        <w:gridCol w:w="2140"/>
        <w:gridCol w:w="1571"/>
        <w:gridCol w:w="1609"/>
        <w:gridCol w:w="1609"/>
        <w:gridCol w:w="728"/>
      </w:tblGrid>
      <w:tr w:rsidR="00870291" w:rsidRPr="00CA07BE" w14:paraId="322E9ABC" w14:textId="77777777">
        <w:trPr>
          <w:tblHeader/>
        </w:trPr>
        <w:tc>
          <w:tcPr>
            <w:tcW w:w="450" w:type="pct"/>
            <w:shd w:val="clear" w:color="auto" w:fill="F0F0F0"/>
            <w:tcMar>
              <w:top w:w="60" w:type="dxa"/>
              <w:left w:w="90" w:type="dxa"/>
              <w:bottom w:w="60" w:type="dxa"/>
              <w:right w:w="90" w:type="dxa"/>
            </w:tcMar>
          </w:tcPr>
          <w:p w14:paraId="322E9AB5"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Test ID</w:t>
            </w:r>
          </w:p>
        </w:tc>
        <w:tc>
          <w:tcPr>
            <w:tcW w:w="500" w:type="pct"/>
            <w:shd w:val="clear" w:color="auto" w:fill="F0F0F0"/>
            <w:tcMar>
              <w:top w:w="60" w:type="dxa"/>
              <w:left w:w="90" w:type="dxa"/>
              <w:bottom w:w="60" w:type="dxa"/>
              <w:right w:w="90" w:type="dxa"/>
            </w:tcMar>
          </w:tcPr>
          <w:p w14:paraId="322E9AB6"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Test Level</w:t>
            </w:r>
          </w:p>
        </w:tc>
        <w:tc>
          <w:tcPr>
            <w:tcW w:w="800" w:type="pct"/>
            <w:shd w:val="clear" w:color="auto" w:fill="F0F0F0"/>
            <w:tcMar>
              <w:top w:w="60" w:type="dxa"/>
              <w:left w:w="90" w:type="dxa"/>
              <w:bottom w:w="60" w:type="dxa"/>
              <w:right w:w="90" w:type="dxa"/>
            </w:tcMar>
          </w:tcPr>
          <w:p w14:paraId="322E9AB7"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Module Under Test</w:t>
            </w:r>
          </w:p>
        </w:tc>
        <w:tc>
          <w:tcPr>
            <w:tcW w:w="1250" w:type="pct"/>
            <w:shd w:val="clear" w:color="auto" w:fill="F0F0F0"/>
            <w:tcMar>
              <w:top w:w="60" w:type="dxa"/>
              <w:left w:w="90" w:type="dxa"/>
              <w:bottom w:w="60" w:type="dxa"/>
              <w:right w:w="90" w:type="dxa"/>
            </w:tcMar>
          </w:tcPr>
          <w:p w14:paraId="322E9AB8"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Test Description</w:t>
            </w:r>
          </w:p>
        </w:tc>
        <w:tc>
          <w:tcPr>
            <w:tcW w:w="750" w:type="pct"/>
            <w:shd w:val="clear" w:color="auto" w:fill="F0F0F0"/>
            <w:tcMar>
              <w:top w:w="60" w:type="dxa"/>
              <w:left w:w="90" w:type="dxa"/>
              <w:bottom w:w="60" w:type="dxa"/>
              <w:right w:w="90" w:type="dxa"/>
            </w:tcMar>
          </w:tcPr>
          <w:p w14:paraId="322E9AB9"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Expected Result</w:t>
            </w:r>
          </w:p>
        </w:tc>
        <w:tc>
          <w:tcPr>
            <w:tcW w:w="850" w:type="pct"/>
            <w:shd w:val="clear" w:color="auto" w:fill="F0F0F0"/>
            <w:tcMar>
              <w:top w:w="60" w:type="dxa"/>
              <w:left w:w="90" w:type="dxa"/>
              <w:bottom w:w="60" w:type="dxa"/>
              <w:right w:w="90" w:type="dxa"/>
            </w:tcMar>
          </w:tcPr>
          <w:p w14:paraId="322E9ABA"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Actual Result</w:t>
            </w:r>
          </w:p>
        </w:tc>
        <w:tc>
          <w:tcPr>
            <w:tcW w:w="400" w:type="pct"/>
            <w:shd w:val="clear" w:color="auto" w:fill="F0F0F0"/>
            <w:tcMar>
              <w:top w:w="60" w:type="dxa"/>
              <w:left w:w="90" w:type="dxa"/>
              <w:bottom w:w="60" w:type="dxa"/>
              <w:right w:w="90" w:type="dxa"/>
            </w:tcMar>
          </w:tcPr>
          <w:p w14:paraId="322E9ABB"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Status</w:t>
            </w:r>
          </w:p>
        </w:tc>
      </w:tr>
      <w:tr w:rsidR="00870291" w:rsidRPr="00CA07BE" w14:paraId="322E9AC4" w14:textId="77777777">
        <w:tc>
          <w:tcPr>
            <w:tcW w:w="450" w:type="pct"/>
            <w:tcMar>
              <w:top w:w="60" w:type="dxa"/>
              <w:left w:w="90" w:type="dxa"/>
              <w:bottom w:w="60" w:type="dxa"/>
              <w:right w:w="90" w:type="dxa"/>
            </w:tcMar>
          </w:tcPr>
          <w:p w14:paraId="322E9ABD"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TC-01</w:t>
            </w:r>
          </w:p>
        </w:tc>
        <w:tc>
          <w:tcPr>
            <w:tcW w:w="500" w:type="pct"/>
            <w:tcMar>
              <w:top w:w="60" w:type="dxa"/>
              <w:left w:w="90" w:type="dxa"/>
              <w:bottom w:w="60" w:type="dxa"/>
              <w:right w:w="90" w:type="dxa"/>
            </w:tcMar>
          </w:tcPr>
          <w:p w14:paraId="322E9ABE"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Integration</w:t>
            </w:r>
          </w:p>
        </w:tc>
        <w:tc>
          <w:tcPr>
            <w:tcW w:w="800" w:type="pct"/>
            <w:tcMar>
              <w:top w:w="60" w:type="dxa"/>
              <w:left w:w="90" w:type="dxa"/>
              <w:bottom w:w="60" w:type="dxa"/>
              <w:right w:w="90" w:type="dxa"/>
            </w:tcMar>
          </w:tcPr>
          <w:p w14:paraId="322E9ABF"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DomainEventGenerator → CrossDomainGuard</w:t>
            </w:r>
          </w:p>
        </w:tc>
        <w:tc>
          <w:tcPr>
            <w:tcW w:w="1250" w:type="pct"/>
            <w:tcMar>
              <w:top w:w="60" w:type="dxa"/>
              <w:left w:w="90" w:type="dxa"/>
              <w:bottom w:w="60" w:type="dxa"/>
              <w:right w:w="90" w:type="dxa"/>
            </w:tcMar>
          </w:tcPr>
          <w:p w14:paraId="322E9AC0"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rawPacketBytes is stripped from every event at the CDS boundary</w:t>
            </w:r>
          </w:p>
        </w:tc>
        <w:tc>
          <w:tcPr>
            <w:tcW w:w="750" w:type="pct"/>
            <w:tcMar>
              <w:top w:w="60" w:type="dxa"/>
              <w:left w:w="90" w:type="dxa"/>
              <w:bottom w:w="60" w:type="dxa"/>
              <w:right w:w="90" w:type="dxa"/>
            </w:tcMar>
          </w:tcPr>
          <w:p w14:paraId="322E9AC1"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IN=OUT=STRIP after 60 seconds</w:t>
            </w:r>
          </w:p>
        </w:tc>
        <w:tc>
          <w:tcPr>
            <w:tcW w:w="850" w:type="pct"/>
            <w:tcMar>
              <w:top w:w="60" w:type="dxa"/>
              <w:left w:w="90" w:type="dxa"/>
              <w:bottom w:w="60" w:type="dxa"/>
              <w:right w:w="90" w:type="dxa"/>
            </w:tcMar>
          </w:tcPr>
          <w:p w14:paraId="322E9AC2"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IN=OUT=STRIP confirmed at 900/900/900</w:t>
            </w:r>
          </w:p>
        </w:tc>
        <w:tc>
          <w:tcPr>
            <w:tcW w:w="400" w:type="pct"/>
            <w:tcMar>
              <w:top w:w="60" w:type="dxa"/>
              <w:left w:w="90" w:type="dxa"/>
              <w:bottom w:w="60" w:type="dxa"/>
              <w:right w:w="90" w:type="dxa"/>
            </w:tcMar>
          </w:tcPr>
          <w:p w14:paraId="322E9AC3"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CC" w14:textId="77777777">
        <w:tc>
          <w:tcPr>
            <w:tcW w:w="450" w:type="pct"/>
            <w:tcMar>
              <w:top w:w="60" w:type="dxa"/>
              <w:left w:w="90" w:type="dxa"/>
              <w:bottom w:w="60" w:type="dxa"/>
              <w:right w:w="90" w:type="dxa"/>
            </w:tcMar>
          </w:tcPr>
          <w:p w14:paraId="322E9AC5"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lastRenderedPageBreak/>
              <w:t>TC-02</w:t>
            </w:r>
          </w:p>
        </w:tc>
        <w:tc>
          <w:tcPr>
            <w:tcW w:w="500" w:type="pct"/>
            <w:tcMar>
              <w:top w:w="60" w:type="dxa"/>
              <w:left w:w="90" w:type="dxa"/>
              <w:bottom w:w="60" w:type="dxa"/>
              <w:right w:w="90" w:type="dxa"/>
            </w:tcMar>
          </w:tcPr>
          <w:p w14:paraId="322E9AC6"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Integration</w:t>
            </w:r>
          </w:p>
        </w:tc>
        <w:tc>
          <w:tcPr>
            <w:tcW w:w="800" w:type="pct"/>
            <w:tcMar>
              <w:top w:w="60" w:type="dxa"/>
              <w:left w:w="90" w:type="dxa"/>
              <w:bottom w:w="60" w:type="dxa"/>
              <w:right w:w="90" w:type="dxa"/>
            </w:tcMar>
          </w:tcPr>
          <w:p w14:paraId="322E9AC7"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CrossDomainGuard → CorrelationEngine</w:t>
            </w:r>
          </w:p>
        </w:tc>
        <w:tc>
          <w:tcPr>
            <w:tcW w:w="1250" w:type="pct"/>
            <w:tcMar>
              <w:top w:w="60" w:type="dxa"/>
              <w:left w:w="90" w:type="dxa"/>
              <w:bottom w:w="60" w:type="dxa"/>
              <w:right w:w="90" w:type="dxa"/>
            </w:tcMar>
          </w:tcPr>
          <w:p w14:paraId="322E9AC8"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SanitizedEvent (no rawPacketBytes) is received by the engine</w:t>
            </w:r>
          </w:p>
        </w:tc>
        <w:tc>
          <w:tcPr>
            <w:tcW w:w="750" w:type="pct"/>
            <w:tcMar>
              <w:top w:w="60" w:type="dxa"/>
              <w:left w:w="90" w:type="dxa"/>
              <w:bottom w:w="60" w:type="dxa"/>
              <w:right w:w="90" w:type="dxa"/>
            </w:tcMar>
          </w:tcPr>
          <w:p w14:paraId="322E9AC9"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SanitizedEvent conforms to interface</w:t>
            </w:r>
          </w:p>
        </w:tc>
        <w:tc>
          <w:tcPr>
            <w:tcW w:w="850" w:type="pct"/>
            <w:tcMar>
              <w:top w:w="60" w:type="dxa"/>
              <w:left w:w="90" w:type="dxa"/>
              <w:bottom w:w="60" w:type="dxa"/>
              <w:right w:w="90" w:type="dxa"/>
            </w:tcMar>
          </w:tcPr>
          <w:p w14:paraId="322E9ACA"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Interface conformance confirmed, 0 type errors</w:t>
            </w:r>
          </w:p>
        </w:tc>
        <w:tc>
          <w:tcPr>
            <w:tcW w:w="400" w:type="pct"/>
            <w:tcMar>
              <w:top w:w="60" w:type="dxa"/>
              <w:left w:w="90" w:type="dxa"/>
              <w:bottom w:w="60" w:type="dxa"/>
              <w:right w:w="90" w:type="dxa"/>
            </w:tcMar>
          </w:tcPr>
          <w:p w14:paraId="322E9ACB"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D4" w14:textId="77777777">
        <w:tc>
          <w:tcPr>
            <w:tcW w:w="450" w:type="pct"/>
            <w:tcMar>
              <w:top w:w="60" w:type="dxa"/>
              <w:left w:w="90" w:type="dxa"/>
              <w:bottom w:w="60" w:type="dxa"/>
              <w:right w:w="90" w:type="dxa"/>
            </w:tcMar>
          </w:tcPr>
          <w:p w14:paraId="322E9ACD"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TC-03</w:t>
            </w:r>
          </w:p>
        </w:tc>
        <w:tc>
          <w:tcPr>
            <w:tcW w:w="500" w:type="pct"/>
            <w:tcMar>
              <w:top w:w="60" w:type="dxa"/>
              <w:left w:w="90" w:type="dxa"/>
              <w:bottom w:w="60" w:type="dxa"/>
              <w:right w:w="90" w:type="dxa"/>
            </w:tcMar>
          </w:tcPr>
          <w:p w14:paraId="322E9ACE"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System</w:t>
            </w:r>
          </w:p>
        </w:tc>
        <w:tc>
          <w:tcPr>
            <w:tcW w:w="800" w:type="pct"/>
            <w:tcMar>
              <w:top w:w="60" w:type="dxa"/>
              <w:left w:w="90" w:type="dxa"/>
              <w:bottom w:w="60" w:type="dxa"/>
              <w:right w:w="90" w:type="dxa"/>
            </w:tcMar>
          </w:tcPr>
          <w:p w14:paraId="322E9ACF"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CorrelationEngine</w:t>
            </w:r>
          </w:p>
        </w:tc>
        <w:tc>
          <w:tcPr>
            <w:tcW w:w="1250" w:type="pct"/>
            <w:tcMar>
              <w:top w:w="60" w:type="dxa"/>
              <w:left w:w="90" w:type="dxa"/>
              <w:bottom w:w="60" w:type="dxa"/>
              <w:right w:w="90" w:type="dxa"/>
            </w:tcMar>
          </w:tcPr>
          <w:p w14:paraId="322E9AD0"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12 seeded ExfilAttempt cross-domain pairs generate alerts above 0.75 threshold</w:t>
            </w:r>
          </w:p>
        </w:tc>
        <w:tc>
          <w:tcPr>
            <w:tcW w:w="750" w:type="pct"/>
            <w:tcMar>
              <w:top w:w="60" w:type="dxa"/>
              <w:left w:w="90" w:type="dxa"/>
              <w:bottom w:w="60" w:type="dxa"/>
              <w:right w:w="90" w:type="dxa"/>
            </w:tcMar>
          </w:tcPr>
          <w:p w14:paraId="322E9AD1"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12/12 pairs detected</w:t>
            </w:r>
          </w:p>
        </w:tc>
        <w:tc>
          <w:tcPr>
            <w:tcW w:w="850" w:type="pct"/>
            <w:tcMar>
              <w:top w:w="60" w:type="dxa"/>
              <w:left w:w="90" w:type="dxa"/>
              <w:bottom w:w="60" w:type="dxa"/>
              <w:right w:w="90" w:type="dxa"/>
            </w:tcMar>
          </w:tcPr>
          <w:p w14:paraId="322E9AD2"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12/12 detected, scores 0.82–0.95</w:t>
            </w:r>
          </w:p>
        </w:tc>
        <w:tc>
          <w:tcPr>
            <w:tcW w:w="400" w:type="pct"/>
            <w:tcMar>
              <w:top w:w="60" w:type="dxa"/>
              <w:left w:w="90" w:type="dxa"/>
              <w:bottom w:w="60" w:type="dxa"/>
              <w:right w:w="90" w:type="dxa"/>
            </w:tcMar>
          </w:tcPr>
          <w:p w14:paraId="322E9AD3"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DC" w14:textId="77777777">
        <w:tc>
          <w:tcPr>
            <w:tcW w:w="450" w:type="pct"/>
            <w:tcMar>
              <w:top w:w="60" w:type="dxa"/>
              <w:left w:w="90" w:type="dxa"/>
              <w:bottom w:w="60" w:type="dxa"/>
              <w:right w:w="90" w:type="dxa"/>
            </w:tcMar>
          </w:tcPr>
          <w:p w14:paraId="322E9AD5"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TC-04</w:t>
            </w:r>
          </w:p>
        </w:tc>
        <w:tc>
          <w:tcPr>
            <w:tcW w:w="500" w:type="pct"/>
            <w:tcMar>
              <w:top w:w="60" w:type="dxa"/>
              <w:left w:w="90" w:type="dxa"/>
              <w:bottom w:w="60" w:type="dxa"/>
              <w:right w:w="90" w:type="dxa"/>
            </w:tcMar>
          </w:tcPr>
          <w:p w14:paraId="322E9AD6"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System</w:t>
            </w:r>
          </w:p>
        </w:tc>
        <w:tc>
          <w:tcPr>
            <w:tcW w:w="800" w:type="pct"/>
            <w:tcMar>
              <w:top w:w="60" w:type="dxa"/>
              <w:left w:w="90" w:type="dxa"/>
              <w:bottom w:w="60" w:type="dxa"/>
              <w:right w:w="90" w:type="dxa"/>
            </w:tcMar>
          </w:tcPr>
          <w:p w14:paraId="322E9AD7"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CorrelationEngine</w:t>
            </w:r>
          </w:p>
        </w:tc>
        <w:tc>
          <w:tcPr>
            <w:tcW w:w="1250" w:type="pct"/>
            <w:tcMar>
              <w:top w:w="60" w:type="dxa"/>
              <w:left w:w="90" w:type="dxa"/>
              <w:bottom w:w="60" w:type="dxa"/>
              <w:right w:w="90" w:type="dxa"/>
            </w:tcMar>
          </w:tcPr>
          <w:p w14:paraId="322E9AD8"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same-domain events do not generate alerts</w:t>
            </w:r>
          </w:p>
        </w:tc>
        <w:tc>
          <w:tcPr>
            <w:tcW w:w="750" w:type="pct"/>
            <w:tcMar>
              <w:top w:w="60" w:type="dxa"/>
              <w:left w:w="90" w:type="dxa"/>
              <w:bottom w:w="60" w:type="dxa"/>
              <w:right w:w="90" w:type="dxa"/>
            </w:tcMar>
          </w:tcPr>
          <w:p w14:paraId="322E9AD9"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0 same-domain alerts</w:t>
            </w:r>
          </w:p>
        </w:tc>
        <w:tc>
          <w:tcPr>
            <w:tcW w:w="850" w:type="pct"/>
            <w:tcMar>
              <w:top w:w="60" w:type="dxa"/>
              <w:left w:w="90" w:type="dxa"/>
              <w:bottom w:w="60" w:type="dxa"/>
              <w:right w:w="90" w:type="dxa"/>
            </w:tcMar>
          </w:tcPr>
          <w:p w14:paraId="322E9ADA"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0 false positives</w:t>
            </w:r>
          </w:p>
        </w:tc>
        <w:tc>
          <w:tcPr>
            <w:tcW w:w="400" w:type="pct"/>
            <w:tcMar>
              <w:top w:w="60" w:type="dxa"/>
              <w:left w:w="90" w:type="dxa"/>
              <w:bottom w:w="60" w:type="dxa"/>
              <w:right w:w="90" w:type="dxa"/>
            </w:tcMar>
          </w:tcPr>
          <w:p w14:paraId="322E9ADB"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E4" w14:textId="77777777">
        <w:tc>
          <w:tcPr>
            <w:tcW w:w="450" w:type="pct"/>
            <w:tcMar>
              <w:top w:w="60" w:type="dxa"/>
              <w:left w:w="90" w:type="dxa"/>
              <w:bottom w:w="60" w:type="dxa"/>
              <w:right w:w="90" w:type="dxa"/>
            </w:tcMar>
          </w:tcPr>
          <w:p w14:paraId="322E9ADD"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lastRenderedPageBreak/>
              <w:t>TC-05</w:t>
            </w:r>
          </w:p>
        </w:tc>
        <w:tc>
          <w:tcPr>
            <w:tcW w:w="500" w:type="pct"/>
            <w:tcMar>
              <w:top w:w="60" w:type="dxa"/>
              <w:left w:w="90" w:type="dxa"/>
              <w:bottom w:w="60" w:type="dxa"/>
              <w:right w:w="90" w:type="dxa"/>
            </w:tcMar>
          </w:tcPr>
          <w:p w14:paraId="322E9ADE"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System</w:t>
            </w:r>
          </w:p>
        </w:tc>
        <w:tc>
          <w:tcPr>
            <w:tcW w:w="800" w:type="pct"/>
            <w:tcMar>
              <w:top w:w="60" w:type="dxa"/>
              <w:left w:w="90" w:type="dxa"/>
              <w:bottom w:w="60" w:type="dxa"/>
              <w:right w:w="90" w:type="dxa"/>
            </w:tcMar>
          </w:tcPr>
          <w:p w14:paraId="322E9ADF"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SimulationController</w:t>
            </w:r>
          </w:p>
        </w:tc>
        <w:tc>
          <w:tcPr>
            <w:tcW w:w="1250" w:type="pct"/>
            <w:tcMar>
              <w:top w:w="60" w:type="dxa"/>
              <w:left w:w="90" w:type="dxa"/>
              <w:bottom w:w="60" w:type="dxa"/>
              <w:right w:w="90" w:type="dxa"/>
            </w:tcMar>
          </w:tcPr>
          <w:p w14:paraId="322E9AE0"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30 aggregate events/sec at max rate with no dropped events</w:t>
            </w:r>
          </w:p>
        </w:tc>
        <w:tc>
          <w:tcPr>
            <w:tcW w:w="750" w:type="pct"/>
            <w:tcMar>
              <w:top w:w="60" w:type="dxa"/>
              <w:left w:w="90" w:type="dxa"/>
              <w:bottom w:w="60" w:type="dxa"/>
              <w:right w:w="90" w:type="dxa"/>
            </w:tcMar>
          </w:tcPr>
          <w:p w14:paraId="322E9AE1"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0 dropped events</w:t>
            </w:r>
          </w:p>
        </w:tc>
        <w:tc>
          <w:tcPr>
            <w:tcW w:w="850" w:type="pct"/>
            <w:tcMar>
              <w:top w:w="60" w:type="dxa"/>
              <w:left w:w="90" w:type="dxa"/>
              <w:bottom w:w="60" w:type="dxa"/>
              <w:right w:w="90" w:type="dxa"/>
            </w:tcMar>
          </w:tcPr>
          <w:p w14:paraId="322E9AE2"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0 dropped events confirmed</w:t>
            </w:r>
          </w:p>
        </w:tc>
        <w:tc>
          <w:tcPr>
            <w:tcW w:w="400" w:type="pct"/>
            <w:tcMar>
              <w:top w:w="60" w:type="dxa"/>
              <w:left w:w="90" w:type="dxa"/>
              <w:bottom w:w="60" w:type="dxa"/>
              <w:right w:w="90" w:type="dxa"/>
            </w:tcMar>
          </w:tcPr>
          <w:p w14:paraId="322E9AE3"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EC" w14:textId="77777777">
        <w:tc>
          <w:tcPr>
            <w:tcW w:w="450" w:type="pct"/>
            <w:tcMar>
              <w:top w:w="60" w:type="dxa"/>
              <w:left w:w="90" w:type="dxa"/>
              <w:bottom w:w="60" w:type="dxa"/>
              <w:right w:w="90" w:type="dxa"/>
            </w:tcMar>
          </w:tcPr>
          <w:p w14:paraId="322E9AE5"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TC-06</w:t>
            </w:r>
          </w:p>
        </w:tc>
        <w:tc>
          <w:tcPr>
            <w:tcW w:w="500" w:type="pct"/>
            <w:tcMar>
              <w:top w:w="60" w:type="dxa"/>
              <w:left w:w="90" w:type="dxa"/>
              <w:bottom w:w="60" w:type="dxa"/>
              <w:right w:w="90" w:type="dxa"/>
            </w:tcMar>
          </w:tcPr>
          <w:p w14:paraId="322E9AE6"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Acceptance</w:t>
            </w:r>
          </w:p>
        </w:tc>
        <w:tc>
          <w:tcPr>
            <w:tcW w:w="800" w:type="pct"/>
            <w:tcMar>
              <w:top w:w="60" w:type="dxa"/>
              <w:left w:w="90" w:type="dxa"/>
              <w:bottom w:w="60" w:type="dxa"/>
              <w:right w:w="90" w:type="dxa"/>
            </w:tcMar>
          </w:tcPr>
          <w:p w14:paraId="322E9AE7"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All nine modules</w:t>
            </w:r>
          </w:p>
        </w:tc>
        <w:tc>
          <w:tcPr>
            <w:tcW w:w="1250" w:type="pct"/>
            <w:tcMar>
              <w:top w:w="60" w:type="dxa"/>
              <w:left w:w="90" w:type="dxa"/>
              <w:bottom w:w="60" w:type="dxa"/>
              <w:right w:w="90" w:type="dxa"/>
            </w:tcMar>
          </w:tcPr>
          <w:p w14:paraId="322E9AE8"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TypeScript strict build produces 0 compile errors</w:t>
            </w:r>
          </w:p>
        </w:tc>
        <w:tc>
          <w:tcPr>
            <w:tcW w:w="750" w:type="pct"/>
            <w:tcMar>
              <w:top w:w="60" w:type="dxa"/>
              <w:left w:w="90" w:type="dxa"/>
              <w:bottom w:w="60" w:type="dxa"/>
              <w:right w:w="90" w:type="dxa"/>
            </w:tcMar>
          </w:tcPr>
          <w:p w14:paraId="322E9AE9"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0 errors</w:t>
            </w:r>
          </w:p>
        </w:tc>
        <w:tc>
          <w:tcPr>
            <w:tcW w:w="850" w:type="pct"/>
            <w:tcMar>
              <w:top w:w="60" w:type="dxa"/>
              <w:left w:w="90" w:type="dxa"/>
              <w:bottom w:w="60" w:type="dxa"/>
              <w:right w:w="90" w:type="dxa"/>
            </w:tcMar>
          </w:tcPr>
          <w:p w14:paraId="322E9AEA"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0 errors</w:t>
            </w:r>
          </w:p>
        </w:tc>
        <w:tc>
          <w:tcPr>
            <w:tcW w:w="400" w:type="pct"/>
            <w:tcMar>
              <w:top w:w="60" w:type="dxa"/>
              <w:left w:w="90" w:type="dxa"/>
              <w:bottom w:w="60" w:type="dxa"/>
              <w:right w:w="90" w:type="dxa"/>
            </w:tcMar>
          </w:tcPr>
          <w:p w14:paraId="322E9AEB"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F4" w14:textId="77777777">
        <w:tc>
          <w:tcPr>
            <w:tcW w:w="450" w:type="pct"/>
            <w:tcMar>
              <w:top w:w="60" w:type="dxa"/>
              <w:left w:w="90" w:type="dxa"/>
              <w:bottom w:w="60" w:type="dxa"/>
              <w:right w:w="90" w:type="dxa"/>
            </w:tcMar>
          </w:tcPr>
          <w:p w14:paraId="322E9AED"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TC-07</w:t>
            </w:r>
          </w:p>
        </w:tc>
        <w:tc>
          <w:tcPr>
            <w:tcW w:w="500" w:type="pct"/>
            <w:tcMar>
              <w:top w:w="60" w:type="dxa"/>
              <w:left w:w="90" w:type="dxa"/>
              <w:bottom w:w="60" w:type="dxa"/>
              <w:right w:w="90" w:type="dxa"/>
            </w:tcMar>
          </w:tcPr>
          <w:p w14:paraId="322E9AEE"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Acceptance</w:t>
            </w:r>
          </w:p>
        </w:tc>
        <w:tc>
          <w:tcPr>
            <w:tcW w:w="800" w:type="pct"/>
            <w:tcMar>
              <w:top w:w="60" w:type="dxa"/>
              <w:left w:w="90" w:type="dxa"/>
              <w:bottom w:w="60" w:type="dxa"/>
              <w:right w:w="90" w:type="dxa"/>
            </w:tcMar>
          </w:tcPr>
          <w:p w14:paraId="322E9AEF"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DashboardRenderer</w:t>
            </w:r>
          </w:p>
        </w:tc>
        <w:tc>
          <w:tcPr>
            <w:tcW w:w="1250" w:type="pct"/>
            <w:tcMar>
              <w:top w:w="60" w:type="dxa"/>
              <w:left w:w="90" w:type="dxa"/>
              <w:bottom w:w="60" w:type="dxa"/>
              <w:right w:w="90" w:type="dxa"/>
            </w:tcMar>
          </w:tcPr>
          <w:p w14:paraId="322E9AF0"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all six panels update in real time with no page reload</w:t>
            </w:r>
          </w:p>
        </w:tc>
        <w:tc>
          <w:tcPr>
            <w:tcW w:w="750" w:type="pct"/>
            <w:tcMar>
              <w:top w:w="60" w:type="dxa"/>
              <w:left w:w="90" w:type="dxa"/>
              <w:bottom w:w="60" w:type="dxa"/>
              <w:right w:w="90" w:type="dxa"/>
            </w:tcMar>
          </w:tcPr>
          <w:p w14:paraId="322E9AF1"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All panels </w:t>
            </w:r>
            <w:proofErr w:type="spellStart"/>
            <w:r w:rsidRPr="00CA07BE">
              <w:rPr>
                <w:rFonts w:ascii="Times New Roman" w:eastAsia="Cambria" w:hAnsi="Times New Roman" w:cs="Times New Roman"/>
                <w:color w:val="000000"/>
              </w:rPr>
              <w:t>rerender</w:t>
            </w:r>
            <w:proofErr w:type="spellEnd"/>
            <w:r w:rsidRPr="00CA07BE">
              <w:rPr>
                <w:rFonts w:ascii="Times New Roman" w:eastAsia="Cambria" w:hAnsi="Times New Roman" w:cs="Times New Roman"/>
                <w:color w:val="000000"/>
              </w:rPr>
              <w:t xml:space="preserve"> per tick</w:t>
            </w:r>
          </w:p>
        </w:tc>
        <w:tc>
          <w:tcPr>
            <w:tcW w:w="850" w:type="pct"/>
            <w:tcMar>
              <w:top w:w="60" w:type="dxa"/>
              <w:left w:w="90" w:type="dxa"/>
              <w:bottom w:w="60" w:type="dxa"/>
              <w:right w:w="90" w:type="dxa"/>
            </w:tcMar>
          </w:tcPr>
          <w:p w14:paraId="322E9AF2"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Confirmed across 5-minute observation</w:t>
            </w:r>
          </w:p>
        </w:tc>
        <w:tc>
          <w:tcPr>
            <w:tcW w:w="400" w:type="pct"/>
            <w:tcMar>
              <w:top w:w="60" w:type="dxa"/>
              <w:left w:w="90" w:type="dxa"/>
              <w:bottom w:w="60" w:type="dxa"/>
              <w:right w:w="90" w:type="dxa"/>
            </w:tcMar>
          </w:tcPr>
          <w:p w14:paraId="322E9AF3"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bl>
    <w:p w14:paraId="322E9AF5" w14:textId="77777777" w:rsidR="00870291" w:rsidRPr="00CA07BE" w:rsidRDefault="00870291" w:rsidP="00CA07BE">
      <w:pPr>
        <w:spacing w:after="200" w:line="480" w:lineRule="auto"/>
        <w:rPr>
          <w:rFonts w:ascii="Times New Roman" w:hAnsi="Times New Roman" w:cs="Times New Roman"/>
        </w:rPr>
      </w:pPr>
    </w:p>
    <w:p w14:paraId="322E9AF6"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t xml:space="preserve">One issue was identified and resolved during testing: an early-stage regression in which same-domain events were inadvertently matched by the CorrelationEngine due to over-weighting </w:t>
      </w:r>
      <w:r w:rsidRPr="00CA07BE">
        <w:rPr>
          <w:rFonts w:ascii="Times New Roman" w:eastAsia="Cambria" w:hAnsi="Times New Roman" w:cs="Times New Roman"/>
          <w:color w:val="000000"/>
        </w:rPr>
        <w:lastRenderedPageBreak/>
        <w:t>of the temporal proximity factor. The issue was resolved by introducing the domain-exclusion guard in the candidate filter and recalibrating confidence score weights. No open defects remain in the v1.2.0 release.</w:t>
      </w:r>
    </w:p>
    <w:p w14:paraId="322E9AF7"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AF9" w14:textId="77777777">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AF8" w14:textId="77777777" w:rsidR="00870291" w:rsidRPr="00CA07BE" w:rsidRDefault="00CD17B6" w:rsidP="00CA07BE">
            <w:pPr>
              <w:spacing w:after="120" w:line="480" w:lineRule="auto"/>
              <w:jc w:val="center"/>
              <w:rPr>
                <w:rFonts w:ascii="Times New Roman" w:hAnsi="Times New Roman" w:cs="Times New Roman"/>
              </w:rPr>
            </w:pPr>
            <w:r>
              <w:rPr>
                <w:noProof/>
              </w:rPr>
              <w:drawing>
                <wp:inline distT="0" distB="0" distL="0" distR="0" wp14:anchorId="087D04C1" wp14:editId="3F2C12EA">
                  <wp:extent cx="5303520" cy="3756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7_Figure3_TC03AlertLog.jpg"/>
                          <pic:cNvPicPr/>
                        </pic:nvPicPr>
                        <pic:blipFill>
                          <a:blip r:embed="rId9"/>
                          <a:stretch>
                            <a:fillRect/>
                          </a:stretch>
                        </pic:blipFill>
                        <pic:spPr>
                          <a:xfrm>
                            <a:off x="0" y="0"/>
                            <a:ext cx="5303520" cy="3756660"/>
                          </a:xfrm>
                          <a:prstGeom prst="rect">
                            <a:avLst/>
                          </a:prstGeom>
                        </pic:spPr>
                      </pic:pic>
                    </a:graphicData>
                  </a:graphic>
                </wp:inline>
              </w:drawing>
            </w:r>
          </w:p>
          <w:p w14:paraId="7CA4FD8C" w14:textId="7636D679" w:rsidR="00B0158E" w:rsidRDefault="00CD17B6">
            <w:pPr>
              <w:jc w:val="center"/>
            </w:pPr>
            <w:r>
              <w:rPr>
                <w:i/>
                <w:iCs/>
                <w:color w:val="595959"/>
                <w:sz w:val="18"/>
                <w:szCs w:val="18"/>
              </w:rPr>
              <w:t>[FIGURE 3: Test case TC-03 validation — CorrelationEngine alert log showing all 12 seeded cross-domain ExfilAttempt pairs detected with confidence scores between 0.82 and 0.95, and 0 same-domain alerts in the same run]</w:t>
            </w:r>
          </w:p>
        </w:tc>
      </w:tr>
    </w:tbl>
    <w:p w14:paraId="322E9AFA" w14:textId="77777777" w:rsidR="00870291" w:rsidRPr="00CA07BE" w:rsidRDefault="00870291" w:rsidP="00CA07BE">
      <w:pPr>
        <w:spacing w:after="240" w:line="480" w:lineRule="auto"/>
        <w:rPr>
          <w:rFonts w:ascii="Times New Roman" w:hAnsi="Times New Roman" w:cs="Times New Roman"/>
        </w:rPr>
      </w:pPr>
    </w:p>
    <w:p w14:paraId="322E9AFB" w14:textId="77777777" w:rsidR="00870291" w:rsidRPr="00CA07BE" w:rsidRDefault="00CD17B6"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A3 — Evaluation</w:t>
      </w:r>
    </w:p>
    <w:p w14:paraId="322E9AFC"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t xml:space="preserve">Comprehensive testing contributed to the reliability and quality of Demo SIEM in three concrete ways. First, integration testing surfaced the domain-exclusion regression early — before it could compound into more complex downstream defects — demonstrating Myers et al.'s (2011) principle that defects found earlier in the development cycle are significantly less </w:t>
      </w:r>
      <w:r w:rsidRPr="00CA07BE">
        <w:rPr>
          <w:rFonts w:ascii="Times New Roman" w:eastAsia="Cambria" w:hAnsi="Times New Roman" w:cs="Times New Roman"/>
          <w:color w:val="000000"/>
        </w:rPr>
        <w:lastRenderedPageBreak/>
        <w:t>expensive to fix. Second, system testing at the maximum configured event rate validated that the pipeline is not throughput-limited within its operational envelope, providing quantitative confidence in the simulator's stability under sustained operation. Third, acceptance testing directly mapped observed system behavior to the four project objectives, ensuring that the delivered simulator fulfills the commitments made in the Unit 2 project proposal.</w:t>
      </w:r>
    </w:p>
    <w:p w14:paraId="322E9AFD"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t>Taken together, these three testing levels align with the IEEE Software Engineering Body of Knowledge (SWEBOK) principle that testing is not a single activity but a multi-layered discipline spanning from component verification through stakeholder acceptance (Bourque &amp; Fairley, 2014). The zero open-defect status of v1.2.0 reflects the effectiveness of this layered approach and establishes a clean foundation from which future maintenance and enhancement activities can proceed with confidence.</w:t>
      </w:r>
    </w:p>
    <w:p w14:paraId="322E9AFE" w14:textId="77777777" w:rsidR="00870291" w:rsidRPr="00CA07BE" w:rsidRDefault="00CD17B6" w:rsidP="00CA07BE">
      <w:pPr>
        <w:pStyle w:val="Heading1"/>
        <w:spacing w:before="480" w:after="60" w:line="480" w:lineRule="auto"/>
        <w:jc w:val="center"/>
        <w:rPr>
          <w:rFonts w:ascii="Times New Roman" w:hAnsi="Times New Roman" w:cs="Times New Roman"/>
          <w:sz w:val="24"/>
          <w:szCs w:val="24"/>
        </w:rPr>
      </w:pPr>
      <w:r w:rsidRPr="00CA07BE">
        <w:rPr>
          <w:rFonts w:ascii="Times New Roman" w:eastAsia="Cambria" w:hAnsi="Times New Roman" w:cs="Times New Roman"/>
          <w:sz w:val="24"/>
          <w:szCs w:val="24"/>
        </w:rPr>
        <w:t>Part B: System Maintenance Plan</w:t>
      </w:r>
    </w:p>
    <w:p w14:paraId="322E9AFF" w14:textId="77777777" w:rsidR="00870291" w:rsidRPr="00CA07BE" w:rsidRDefault="00CD17B6"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B1 — Maintenance Strategy</w:t>
      </w:r>
    </w:p>
    <w:p w14:paraId="322E9B00"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t xml:space="preserve">Corrective maintenance addresses defects </w:t>
      </w:r>
      <w:proofErr w:type="gramStart"/>
      <w:r w:rsidRPr="00CA07BE">
        <w:rPr>
          <w:rFonts w:ascii="Times New Roman" w:eastAsia="Cambria" w:hAnsi="Times New Roman" w:cs="Times New Roman"/>
          <w:color w:val="000000"/>
        </w:rPr>
        <w:t>discovered</w:t>
      </w:r>
      <w:proofErr w:type="gramEnd"/>
      <w:r w:rsidRPr="00CA07BE">
        <w:rPr>
          <w:rFonts w:ascii="Times New Roman" w:eastAsia="Cambria" w:hAnsi="Times New Roman" w:cs="Times New Roman"/>
          <w:color w:val="000000"/>
        </w:rPr>
        <w:t xml:space="preserve"> post-deployment. For Demo SIEM, the primary corrective risk is browser compatibility: as Chrome, Firefox, and Safari release updates, React 18 rendering behavior or Web APIs used by the simulator may behave differently across platforms. Corrective maintenance would involve diagnosing browser-specific regressions, </w:t>
      </w:r>
      <w:proofErr w:type="gramStart"/>
      <w:r w:rsidRPr="00CA07BE">
        <w:rPr>
          <w:rFonts w:ascii="Times New Roman" w:eastAsia="Cambria" w:hAnsi="Times New Roman" w:cs="Times New Roman"/>
          <w:color w:val="000000"/>
        </w:rPr>
        <w:t>identifying</w:t>
      </w:r>
      <w:proofErr w:type="gramEnd"/>
      <w:r w:rsidRPr="00CA07BE">
        <w:rPr>
          <w:rFonts w:ascii="Times New Roman" w:eastAsia="Cambria" w:hAnsi="Times New Roman" w:cs="Times New Roman"/>
          <w:color w:val="000000"/>
        </w:rPr>
        <w:t xml:space="preserve"> the affected component or API, and deploying a patch release to the GitHub repository and </w:t>
      </w:r>
      <w:proofErr w:type="spellStart"/>
      <w:r w:rsidRPr="00CA07BE">
        <w:rPr>
          <w:rFonts w:ascii="Times New Roman" w:eastAsia="Cambria" w:hAnsi="Times New Roman" w:cs="Times New Roman"/>
          <w:color w:val="000000"/>
        </w:rPr>
        <w:t>Replit</w:t>
      </w:r>
      <w:proofErr w:type="spellEnd"/>
      <w:r w:rsidRPr="00CA07BE">
        <w:rPr>
          <w:rFonts w:ascii="Times New Roman" w:eastAsia="Cambria" w:hAnsi="Times New Roman" w:cs="Times New Roman"/>
          <w:color w:val="000000"/>
        </w:rPr>
        <w:t xml:space="preserve"> hosting environment.</w:t>
      </w:r>
    </w:p>
    <w:p w14:paraId="322E9B01"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t xml:space="preserve">Adaptive maintenance addresses changes in the operating environment. The most foreseeable adaptive maintenance need is a Vite or React major version upgrade. When React 19 or Vite 8 introduces breaking changes, the simulator's components and build configuration will require updates to remain functional. The </w:t>
      </w:r>
      <w:proofErr w:type="spellStart"/>
      <w:r w:rsidRPr="00CA07BE">
        <w:rPr>
          <w:rFonts w:ascii="Times New Roman" w:eastAsia="Cambria" w:hAnsi="Times New Roman" w:cs="Times New Roman"/>
          <w:color w:val="000000"/>
        </w:rPr>
        <w:t>pnpm-lock.yaml</w:t>
      </w:r>
      <w:proofErr w:type="spellEnd"/>
      <w:r w:rsidRPr="00CA07BE">
        <w:rPr>
          <w:rFonts w:ascii="Times New Roman" w:eastAsia="Cambria" w:hAnsi="Times New Roman" w:cs="Times New Roman"/>
          <w:color w:val="000000"/>
        </w:rPr>
        <w:t xml:space="preserve"> </w:t>
      </w:r>
      <w:proofErr w:type="spellStart"/>
      <w:r w:rsidRPr="00CA07BE">
        <w:rPr>
          <w:rFonts w:ascii="Times New Roman" w:eastAsia="Cambria" w:hAnsi="Times New Roman" w:cs="Times New Roman"/>
          <w:color w:val="000000"/>
        </w:rPr>
        <w:t>lockfile</w:t>
      </w:r>
      <w:proofErr w:type="spellEnd"/>
      <w:r w:rsidRPr="00CA07BE">
        <w:rPr>
          <w:rFonts w:ascii="Times New Roman" w:eastAsia="Cambria" w:hAnsi="Times New Roman" w:cs="Times New Roman"/>
          <w:color w:val="000000"/>
        </w:rPr>
        <w:t xml:space="preserve"> provides a stable baseline </w:t>
      </w:r>
      <w:r w:rsidRPr="00CA07BE">
        <w:rPr>
          <w:rFonts w:ascii="Times New Roman" w:eastAsia="Cambria" w:hAnsi="Times New Roman" w:cs="Times New Roman"/>
          <w:color w:val="000000"/>
        </w:rPr>
        <w:lastRenderedPageBreak/>
        <w:t>from which to perform controlled, branch-isolated upgrades without disrupting the production deployment.</w:t>
      </w:r>
    </w:p>
    <w:p w14:paraId="322E9B02"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t>Perfective maintenance adds capability based on evolving requirements. The four future improvements identified in the Unit 6 capstone report — machine learning-based correlation, real telemetry integration, a cloud-native backend, and a formal usability study — all constitute perfective maintenance activities that extend the simulator's analytical value beyond its current simulation-only scope (Sommerville, 2016).</w:t>
      </w:r>
    </w:p>
    <w:p w14:paraId="322E9B03"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t xml:space="preserve">Preventive maintenance reduces the risk of future failure. For Demo SIEM, preventive maintenance includes quarterly dependency audits using </w:t>
      </w:r>
      <w:proofErr w:type="spellStart"/>
      <w:r w:rsidRPr="00CA07BE">
        <w:rPr>
          <w:rFonts w:ascii="Times New Roman" w:eastAsia="Cambria" w:hAnsi="Times New Roman" w:cs="Times New Roman"/>
          <w:color w:val="000000"/>
        </w:rPr>
        <w:t>pnpm</w:t>
      </w:r>
      <w:proofErr w:type="spellEnd"/>
      <w:r w:rsidRPr="00CA07BE">
        <w:rPr>
          <w:rFonts w:ascii="Times New Roman" w:eastAsia="Cambria" w:hAnsi="Times New Roman" w:cs="Times New Roman"/>
          <w:color w:val="000000"/>
        </w:rPr>
        <w:t xml:space="preserve"> audit to identify and remediate known security vulnerabilities in third-party packages, and periodic review of </w:t>
      </w:r>
      <w:proofErr w:type="spellStart"/>
      <w:r w:rsidRPr="00CA07BE">
        <w:rPr>
          <w:rFonts w:ascii="Times New Roman" w:eastAsia="Cambria" w:hAnsi="Times New Roman" w:cs="Times New Roman"/>
          <w:color w:val="000000"/>
        </w:rPr>
        <w:t>Replit's</w:t>
      </w:r>
      <w:proofErr w:type="spellEnd"/>
      <w:r w:rsidRPr="00CA07BE">
        <w:rPr>
          <w:rFonts w:ascii="Times New Roman" w:eastAsia="Cambria" w:hAnsi="Times New Roman" w:cs="Times New Roman"/>
          <w:color w:val="000000"/>
        </w:rPr>
        <w:t xml:space="preserve"> uptime and hosting policies to ensure continued deployment availability. The proposed maintenance schedule is as follows: monthly dependency security audits; quarterly browser compatibility checks across Chrome, Firefox, and Safari; biannual review of React, TypeScript, and Vite release notes for breaking </w:t>
      </w:r>
      <w:proofErr w:type="gramStart"/>
      <w:r w:rsidRPr="00CA07BE">
        <w:rPr>
          <w:rFonts w:ascii="Times New Roman" w:eastAsia="Cambria" w:hAnsi="Times New Roman" w:cs="Times New Roman"/>
          <w:color w:val="000000"/>
        </w:rPr>
        <w:t>changes; and</w:t>
      </w:r>
      <w:proofErr w:type="gramEnd"/>
      <w:r w:rsidRPr="00CA07BE">
        <w:rPr>
          <w:rFonts w:ascii="Times New Roman" w:eastAsia="Cambria" w:hAnsi="Times New Roman" w:cs="Times New Roman"/>
          <w:color w:val="000000"/>
        </w:rPr>
        <w:t xml:space="preserve"> an annual review of the correlation confidence threshold and seed event pool to ensure continued analytical validity.</w:t>
      </w:r>
    </w:p>
    <w:p w14:paraId="322E9B04"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06" w14:textId="77777777">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05" w14:textId="77777777" w:rsidR="00870291" w:rsidRPr="00CA07BE" w:rsidRDefault="00CD17B6" w:rsidP="00CA07BE">
            <w:pPr>
              <w:spacing w:after="120" w:line="480" w:lineRule="auto"/>
              <w:jc w:val="center"/>
              <w:rPr>
                <w:rFonts w:ascii="Times New Roman" w:hAnsi="Times New Roman" w:cs="Times New Roman"/>
              </w:rPr>
            </w:pPr>
            <w:r>
              <w:rPr>
                <w:noProof/>
              </w:rPr>
              <w:lastRenderedPageBreak/>
              <w:drawing>
                <wp:inline distT="0" distB="0" distL="0" distR="0" wp14:anchorId="18DE7AB2" wp14:editId="2A15B06B">
                  <wp:extent cx="5303520" cy="2983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com_Telieou-source_Unified-Security-View_releases.png"/>
                          <pic:cNvPicPr/>
                        </pic:nvPicPr>
                        <pic:blipFill>
                          <a:blip r:embed="rId10"/>
                          <a:stretch>
                            <a:fillRect/>
                          </a:stretch>
                        </pic:blipFill>
                        <pic:spPr>
                          <a:xfrm>
                            <a:off x="0" y="0"/>
                            <a:ext cx="5303520" cy="2983230"/>
                          </a:xfrm>
                          <a:prstGeom prst="rect">
                            <a:avLst/>
                          </a:prstGeom>
                        </pic:spPr>
                      </pic:pic>
                    </a:graphicData>
                  </a:graphic>
                </wp:inline>
              </w:drawing>
            </w:r>
          </w:p>
          <w:p w14:paraId="609FD12E" w14:textId="5C810BD2" w:rsidR="00B0158E" w:rsidRDefault="00CD17B6">
            <w:pPr>
              <w:jc w:val="center"/>
            </w:pPr>
            <w:r>
              <w:rPr>
                <w:i/>
                <w:iCs/>
                <w:color w:val="595959"/>
                <w:sz w:val="18"/>
                <w:szCs w:val="18"/>
              </w:rPr>
              <w:t>[FIGURE 4: GitHub repository release history page showing tagged releases v0.1.0 through v1.2.0 with commit count and release notes — illustrating the version-controlled baseline from which maintenance activities will be tracked]</w:t>
            </w:r>
          </w:p>
        </w:tc>
      </w:tr>
    </w:tbl>
    <w:p w14:paraId="322E9B07" w14:textId="77777777" w:rsidR="00870291" w:rsidRPr="00CA07BE" w:rsidRDefault="00870291" w:rsidP="00CA07BE">
      <w:pPr>
        <w:spacing w:after="240" w:line="480" w:lineRule="auto"/>
        <w:rPr>
          <w:rFonts w:ascii="Times New Roman" w:hAnsi="Times New Roman" w:cs="Times New Roman"/>
        </w:rPr>
      </w:pPr>
    </w:p>
    <w:p w14:paraId="322E9B08" w14:textId="77777777" w:rsidR="00870291" w:rsidRPr="00CA07BE" w:rsidRDefault="00CD17B6"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B2 — Maintenance Documentation</w:t>
      </w:r>
    </w:p>
    <w:p w14:paraId="322E9B09"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t>Version updates, bug fixes, and enhancement requests will be managed through the existing GitHub repository workflow at https://github.com/Telieou-source/Unified-Security-View. Each maintenance action will be initiated through a GitHub Issue describing the defect, enhancement request, or dependency update. A dedicated feature or fix branch will be created from main, developed and tested locally, then merged via a pull request. The pull request must pass the TypeScript strict-mode build — zero compile errors — before merging is permitted. Tagged releases following semantic versioning (MAJOR.MINOR.PATCH) will document each maintenance delivery: patch releases for bug fixes, minor releases for new features, and major releases for breaking architectural changes.</w:t>
      </w:r>
    </w:p>
    <w:p w14:paraId="322E9B0A"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t xml:space="preserve">Version control and configuration management tools support this strategy at three levels. The </w:t>
      </w:r>
      <w:proofErr w:type="spellStart"/>
      <w:r w:rsidRPr="00CA07BE">
        <w:rPr>
          <w:rFonts w:ascii="Times New Roman" w:eastAsia="Cambria" w:hAnsi="Times New Roman" w:cs="Times New Roman"/>
          <w:color w:val="000000"/>
        </w:rPr>
        <w:t>pnpm-lock.yaml</w:t>
      </w:r>
      <w:proofErr w:type="spellEnd"/>
      <w:r w:rsidRPr="00CA07BE">
        <w:rPr>
          <w:rFonts w:ascii="Times New Roman" w:eastAsia="Cambria" w:hAnsi="Times New Roman" w:cs="Times New Roman"/>
          <w:color w:val="000000"/>
        </w:rPr>
        <w:t xml:space="preserve"> </w:t>
      </w:r>
      <w:proofErr w:type="spellStart"/>
      <w:r w:rsidRPr="00CA07BE">
        <w:rPr>
          <w:rFonts w:ascii="Times New Roman" w:eastAsia="Cambria" w:hAnsi="Times New Roman" w:cs="Times New Roman"/>
          <w:color w:val="000000"/>
        </w:rPr>
        <w:t>lockfile</w:t>
      </w:r>
      <w:proofErr w:type="spellEnd"/>
      <w:r w:rsidRPr="00CA07BE">
        <w:rPr>
          <w:rFonts w:ascii="Times New Roman" w:eastAsia="Cambria" w:hAnsi="Times New Roman" w:cs="Times New Roman"/>
          <w:color w:val="000000"/>
        </w:rPr>
        <w:t xml:space="preserve"> ensures that every build — whether on a developer's machine or a </w:t>
      </w:r>
      <w:r w:rsidRPr="00CA07BE">
        <w:rPr>
          <w:rFonts w:ascii="Times New Roman" w:eastAsia="Cambria" w:hAnsi="Times New Roman" w:cs="Times New Roman"/>
          <w:color w:val="000000"/>
        </w:rPr>
        <w:lastRenderedPageBreak/>
        <w:t xml:space="preserve">continuous integration runner — uses identical dependency versions, eliminating environment-specific defects that would otherwise be difficult to reproduce. The </w:t>
      </w:r>
      <w:proofErr w:type="spellStart"/>
      <w:r w:rsidRPr="00CA07BE">
        <w:rPr>
          <w:rFonts w:ascii="Times New Roman" w:eastAsia="Cambria" w:hAnsi="Times New Roman" w:cs="Times New Roman"/>
          <w:color w:val="000000"/>
        </w:rPr>
        <w:t>vite.config.ts</w:t>
      </w:r>
      <w:proofErr w:type="spellEnd"/>
      <w:r w:rsidRPr="00CA07BE">
        <w:rPr>
          <w:rFonts w:ascii="Times New Roman" w:eastAsia="Cambria" w:hAnsi="Times New Roman" w:cs="Times New Roman"/>
          <w:color w:val="000000"/>
        </w:rPr>
        <w:t xml:space="preserve"> file commits build settings to version control, ensuring build reproducibility across all releases and all developer environments. A GitHub Actions CI workflow, when activated, would enforce build validation on every pull request, preventing regressions from reaching the main branch before human review.</w:t>
      </w:r>
    </w:p>
    <w:p w14:paraId="322E9B0B"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t>Together, these practices align with the Software Configuration Management goals described by Summers (2020): maintaining consistency, managing change effectively, and ensuring product integrity across the full delivery lifecycle. Because Demo SIEM is a client-side-only application with no server-side infrastructure, the configuration surface is narrow and well-bounded, making this lightweight workflow proportionate to the system's actual complexity.</w:t>
      </w:r>
    </w:p>
    <w:p w14:paraId="322E9B0C"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0E" w14:textId="77777777">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0D" w14:textId="77777777" w:rsidR="00870291" w:rsidRPr="00CA07BE" w:rsidRDefault="00CD17B6" w:rsidP="00CA07BE">
            <w:pPr>
              <w:spacing w:after="120" w:line="480" w:lineRule="auto"/>
              <w:jc w:val="center"/>
              <w:rPr>
                <w:rFonts w:ascii="Times New Roman" w:hAnsi="Times New Roman" w:cs="Times New Roman"/>
              </w:rPr>
            </w:pPr>
            <w:r>
              <w:rPr>
                <w:noProof/>
              </w:rPr>
              <w:lastRenderedPageBreak/>
              <w:drawing>
                <wp:inline distT="0" distB="0" distL="0" distR="0" wp14:anchorId="1D1DC3BA" wp14:editId="19EA7BA8">
                  <wp:extent cx="5303520" cy="3756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7_Figure5_GitHubIssues.jpg"/>
                          <pic:cNvPicPr/>
                        </pic:nvPicPr>
                        <pic:blipFill>
                          <a:blip r:embed="rId11"/>
                          <a:stretch>
                            <a:fillRect/>
                          </a:stretch>
                        </pic:blipFill>
                        <pic:spPr>
                          <a:xfrm>
                            <a:off x="0" y="0"/>
                            <a:ext cx="5303520" cy="3756660"/>
                          </a:xfrm>
                          <a:prstGeom prst="rect">
                            <a:avLst/>
                          </a:prstGeom>
                        </pic:spPr>
                      </pic:pic>
                    </a:graphicData>
                  </a:graphic>
                </wp:inline>
              </w:drawing>
            </w:r>
          </w:p>
          <w:p w14:paraId="6E28AC26" w14:textId="055ADA19" w:rsidR="00B0158E" w:rsidRDefault="00CD17B6">
            <w:pPr>
              <w:jc w:val="center"/>
            </w:pPr>
            <w:r>
              <w:rPr>
                <w:i/>
                <w:iCs/>
                <w:color w:val="595959"/>
                <w:sz w:val="18"/>
                <w:szCs w:val="18"/>
              </w:rPr>
              <w:t>[FIGURE 5: GitHub Issues page showing a sample bug report issue with labels, milestone assignment, and linked pull request — illustrating the defect tracking and version-controlled fix workflow]</w:t>
            </w:r>
          </w:p>
        </w:tc>
      </w:tr>
    </w:tbl>
    <w:p w14:paraId="322E9B0F" w14:textId="77777777" w:rsidR="00870291" w:rsidRPr="00CA07BE" w:rsidRDefault="00870291" w:rsidP="00CA07BE">
      <w:pPr>
        <w:spacing w:after="240" w:line="480" w:lineRule="auto"/>
        <w:rPr>
          <w:rFonts w:ascii="Times New Roman" w:hAnsi="Times New Roman" w:cs="Times New Roman"/>
        </w:rPr>
      </w:pPr>
    </w:p>
    <w:p w14:paraId="322E9B10"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12" w14:textId="77777777">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11" w14:textId="77777777" w:rsidR="00870291" w:rsidRPr="00CA07BE" w:rsidRDefault="00CD17B6" w:rsidP="00CA07BE">
            <w:pPr>
              <w:spacing w:after="120" w:line="480" w:lineRule="auto"/>
              <w:jc w:val="center"/>
              <w:rPr>
                <w:rFonts w:ascii="Times New Roman" w:hAnsi="Times New Roman" w:cs="Times New Roman"/>
              </w:rPr>
            </w:pPr>
            <w:r>
              <w:rPr>
                <w:noProof/>
              </w:rPr>
              <w:lastRenderedPageBreak/>
              <w:drawing>
                <wp:inline distT="0" distB="0" distL="0" distR="0" wp14:anchorId="5396A1A4" wp14:editId="54C3E09A">
                  <wp:extent cx="5303520" cy="4530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7_Figure6_BuildOutput.jpg"/>
                          <pic:cNvPicPr/>
                        </pic:nvPicPr>
                        <pic:blipFill>
                          <a:blip r:embed="rId12"/>
                          <a:stretch>
                            <a:fillRect/>
                          </a:stretch>
                        </pic:blipFill>
                        <pic:spPr>
                          <a:xfrm>
                            <a:off x="0" y="0"/>
                            <a:ext cx="5303520" cy="4530090"/>
                          </a:xfrm>
                          <a:prstGeom prst="rect">
                            <a:avLst/>
                          </a:prstGeom>
                        </pic:spPr>
                      </pic:pic>
                    </a:graphicData>
                  </a:graphic>
                </wp:inline>
              </w:drawing>
            </w:r>
          </w:p>
          <w:p w14:paraId="296110DD" w14:textId="0127AB04" w:rsidR="00B0158E" w:rsidRDefault="00CD17B6">
            <w:pPr>
              <w:jc w:val="center"/>
            </w:pPr>
            <w:r>
              <w:rPr>
                <w:i/>
                <w:iCs/>
                <w:color w:val="595959"/>
                <w:sz w:val="18"/>
                <w:szCs w:val="18"/>
              </w:rPr>
              <w:t xml:space="preserve">[FIGURE 6: GitHub Actions </w:t>
            </w:r>
            <w:proofErr w:type="gramStart"/>
            <w:r>
              <w:rPr>
                <w:i/>
                <w:iCs/>
                <w:color w:val="595959"/>
                <w:sz w:val="18"/>
                <w:szCs w:val="18"/>
              </w:rPr>
              <w:t>workflow run</w:t>
            </w:r>
            <w:proofErr w:type="gramEnd"/>
            <w:r>
              <w:rPr>
                <w:i/>
                <w:iCs/>
                <w:color w:val="595959"/>
                <w:sz w:val="18"/>
                <w:szCs w:val="18"/>
              </w:rPr>
              <w:t xml:space="preserve"> result (or pnpm build terminal output) showing a successful TypeScript strict-mode build confirming zero compile errors — used as the merge gate for all maintenance pull requests]</w:t>
            </w:r>
          </w:p>
        </w:tc>
      </w:tr>
    </w:tbl>
    <w:p w14:paraId="322E9B13" w14:textId="77777777" w:rsidR="00870291" w:rsidRPr="00CA07BE" w:rsidRDefault="00870291" w:rsidP="00CA07BE">
      <w:pPr>
        <w:spacing w:after="240" w:line="480" w:lineRule="auto"/>
        <w:rPr>
          <w:rFonts w:ascii="Times New Roman" w:hAnsi="Times New Roman" w:cs="Times New Roman"/>
        </w:rPr>
      </w:pPr>
    </w:p>
    <w:p w14:paraId="322E9B14" w14:textId="77777777" w:rsidR="00870291" w:rsidRPr="00CA07BE" w:rsidRDefault="00CD17B6"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B3 — Risk Identification and Mitigation</w:t>
      </w:r>
    </w:p>
    <w:p w14:paraId="322E9B15"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t>Five post-deployment risks were identified, assessed for likelihood and impact, and assigned mitigation strategies. These risks are consolidated in the risk register presented as Table 2 below.</w:t>
      </w:r>
    </w:p>
    <w:p w14:paraId="322E9B16"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b/>
          <w:bCs/>
          <w:color w:val="000000"/>
        </w:rPr>
        <w:t>Table 2</w:t>
      </w:r>
    </w:p>
    <w:p w14:paraId="322E9B17" w14:textId="77777777" w:rsidR="00870291" w:rsidRPr="00CA07BE" w:rsidRDefault="00CD17B6" w:rsidP="00CA07BE">
      <w:pPr>
        <w:spacing w:before="60" w:after="80" w:line="480" w:lineRule="auto"/>
        <w:rPr>
          <w:rFonts w:ascii="Times New Roman" w:hAnsi="Times New Roman" w:cs="Times New Roman"/>
        </w:rPr>
      </w:pPr>
      <w:r w:rsidRPr="00CA07BE">
        <w:rPr>
          <w:rFonts w:ascii="Times New Roman" w:eastAsia="Cambria" w:hAnsi="Times New Roman" w:cs="Times New Roman"/>
          <w:i/>
          <w:iCs/>
          <w:color w:val="000000"/>
        </w:rPr>
        <w:t>Post-Deployment Risk Register</w:t>
      </w:r>
    </w:p>
    <w:p w14:paraId="322E9B18" w14:textId="77777777" w:rsidR="00870291" w:rsidRPr="00CA07BE" w:rsidRDefault="00870291" w:rsidP="00CA07BE">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04"/>
        <w:gridCol w:w="2574"/>
        <w:gridCol w:w="1288"/>
        <w:gridCol w:w="994"/>
        <w:gridCol w:w="3790"/>
      </w:tblGrid>
      <w:tr w:rsidR="00870291" w:rsidRPr="00CA07BE" w14:paraId="322E9B1E" w14:textId="77777777">
        <w:trPr>
          <w:tblHeader/>
        </w:trPr>
        <w:tc>
          <w:tcPr>
            <w:tcW w:w="450" w:type="pct"/>
            <w:shd w:val="clear" w:color="auto" w:fill="F0F0F0"/>
            <w:tcMar>
              <w:top w:w="60" w:type="dxa"/>
              <w:left w:w="90" w:type="dxa"/>
              <w:bottom w:w="60" w:type="dxa"/>
              <w:right w:w="90" w:type="dxa"/>
            </w:tcMar>
          </w:tcPr>
          <w:p w14:paraId="322E9B19"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lastRenderedPageBreak/>
              <w:t>Risk ID</w:t>
            </w:r>
          </w:p>
        </w:tc>
        <w:tc>
          <w:tcPr>
            <w:tcW w:w="1450" w:type="pct"/>
            <w:shd w:val="clear" w:color="auto" w:fill="F0F0F0"/>
            <w:tcMar>
              <w:top w:w="60" w:type="dxa"/>
              <w:left w:w="90" w:type="dxa"/>
              <w:bottom w:w="60" w:type="dxa"/>
              <w:right w:w="90" w:type="dxa"/>
            </w:tcMar>
          </w:tcPr>
          <w:p w14:paraId="322E9B1A"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Risk Description</w:t>
            </w:r>
          </w:p>
        </w:tc>
        <w:tc>
          <w:tcPr>
            <w:tcW w:w="500" w:type="pct"/>
            <w:shd w:val="clear" w:color="auto" w:fill="F0F0F0"/>
            <w:tcMar>
              <w:top w:w="60" w:type="dxa"/>
              <w:left w:w="90" w:type="dxa"/>
              <w:bottom w:w="60" w:type="dxa"/>
              <w:right w:w="90" w:type="dxa"/>
            </w:tcMar>
          </w:tcPr>
          <w:p w14:paraId="322E9B1B"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Likelihood</w:t>
            </w:r>
          </w:p>
        </w:tc>
        <w:tc>
          <w:tcPr>
            <w:tcW w:w="500" w:type="pct"/>
            <w:shd w:val="clear" w:color="auto" w:fill="F0F0F0"/>
            <w:tcMar>
              <w:top w:w="60" w:type="dxa"/>
              <w:left w:w="90" w:type="dxa"/>
              <w:bottom w:w="60" w:type="dxa"/>
              <w:right w:w="90" w:type="dxa"/>
            </w:tcMar>
          </w:tcPr>
          <w:p w14:paraId="322E9B1C"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Impact</w:t>
            </w:r>
          </w:p>
        </w:tc>
        <w:tc>
          <w:tcPr>
            <w:tcW w:w="2100" w:type="pct"/>
            <w:shd w:val="clear" w:color="auto" w:fill="F0F0F0"/>
            <w:tcMar>
              <w:top w:w="60" w:type="dxa"/>
              <w:left w:w="90" w:type="dxa"/>
              <w:bottom w:w="60" w:type="dxa"/>
              <w:right w:w="90" w:type="dxa"/>
            </w:tcMar>
          </w:tcPr>
          <w:p w14:paraId="322E9B1D"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Mitigation Strategy</w:t>
            </w:r>
          </w:p>
        </w:tc>
      </w:tr>
      <w:tr w:rsidR="00870291" w:rsidRPr="00CA07BE" w14:paraId="322E9B24" w14:textId="77777777">
        <w:tc>
          <w:tcPr>
            <w:tcW w:w="450" w:type="pct"/>
            <w:tcMar>
              <w:top w:w="60" w:type="dxa"/>
              <w:left w:w="90" w:type="dxa"/>
              <w:bottom w:w="60" w:type="dxa"/>
              <w:right w:w="90" w:type="dxa"/>
            </w:tcMar>
          </w:tcPr>
          <w:p w14:paraId="322E9B1F"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R-01</w:t>
            </w:r>
          </w:p>
        </w:tc>
        <w:tc>
          <w:tcPr>
            <w:tcW w:w="1450" w:type="pct"/>
            <w:tcMar>
              <w:top w:w="60" w:type="dxa"/>
              <w:left w:w="90" w:type="dxa"/>
              <w:bottom w:w="60" w:type="dxa"/>
              <w:right w:w="90" w:type="dxa"/>
            </w:tcMar>
          </w:tcPr>
          <w:p w14:paraId="322E9B20" w14:textId="77777777" w:rsidR="00870291" w:rsidRPr="00CA07BE" w:rsidRDefault="00CD17B6" w:rsidP="00CA07BE">
            <w:pPr>
              <w:spacing w:line="480" w:lineRule="auto"/>
              <w:rPr>
                <w:rFonts w:ascii="Times New Roman" w:hAnsi="Times New Roman" w:cs="Times New Roman"/>
              </w:rPr>
            </w:pPr>
            <w:proofErr w:type="spellStart"/>
            <w:r w:rsidRPr="00CA07BE">
              <w:rPr>
                <w:rFonts w:ascii="Times New Roman" w:eastAsia="Cambria" w:hAnsi="Times New Roman" w:cs="Times New Roman"/>
                <w:color w:val="000000"/>
              </w:rPr>
              <w:t>Replit</w:t>
            </w:r>
            <w:proofErr w:type="spellEnd"/>
            <w:r w:rsidRPr="00CA07BE">
              <w:rPr>
                <w:rFonts w:ascii="Times New Roman" w:eastAsia="Cambria" w:hAnsi="Times New Roman" w:cs="Times New Roman"/>
                <w:color w:val="000000"/>
              </w:rPr>
              <w:t xml:space="preserve"> hosting policy change renders the live deployment inaccessible</w:t>
            </w:r>
          </w:p>
        </w:tc>
        <w:tc>
          <w:tcPr>
            <w:tcW w:w="500" w:type="pct"/>
            <w:tcMar>
              <w:top w:w="60" w:type="dxa"/>
              <w:left w:w="90" w:type="dxa"/>
              <w:bottom w:w="60" w:type="dxa"/>
              <w:right w:w="90" w:type="dxa"/>
            </w:tcMar>
          </w:tcPr>
          <w:p w14:paraId="322E9B21"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500" w:type="pct"/>
            <w:tcMar>
              <w:top w:w="60" w:type="dxa"/>
              <w:left w:w="90" w:type="dxa"/>
              <w:bottom w:w="60" w:type="dxa"/>
              <w:right w:w="90" w:type="dxa"/>
            </w:tcMar>
          </w:tcPr>
          <w:p w14:paraId="322E9B22"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High</w:t>
            </w:r>
          </w:p>
        </w:tc>
        <w:tc>
          <w:tcPr>
            <w:tcW w:w="2100" w:type="pct"/>
            <w:tcMar>
              <w:top w:w="60" w:type="dxa"/>
              <w:left w:w="90" w:type="dxa"/>
              <w:bottom w:w="60" w:type="dxa"/>
              <w:right w:w="90" w:type="dxa"/>
            </w:tcMar>
          </w:tcPr>
          <w:p w14:paraId="322E9B23"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Migrate to static hosting on Netlify or </w:t>
            </w:r>
            <w:proofErr w:type="spellStart"/>
            <w:r w:rsidRPr="00CA07BE">
              <w:rPr>
                <w:rFonts w:ascii="Times New Roman" w:eastAsia="Cambria" w:hAnsi="Times New Roman" w:cs="Times New Roman"/>
                <w:color w:val="000000"/>
              </w:rPr>
              <w:t>Vercel</w:t>
            </w:r>
            <w:proofErr w:type="spellEnd"/>
            <w:r w:rsidRPr="00CA07BE">
              <w:rPr>
                <w:rFonts w:ascii="Times New Roman" w:eastAsia="Cambria" w:hAnsi="Times New Roman" w:cs="Times New Roman"/>
                <w:color w:val="000000"/>
              </w:rPr>
              <w:t xml:space="preserve"> using documented build commands; </w:t>
            </w:r>
            <w:proofErr w:type="spellStart"/>
            <w:r w:rsidRPr="00CA07BE">
              <w:rPr>
                <w:rFonts w:ascii="Times New Roman" w:eastAsia="Cambria" w:hAnsi="Times New Roman" w:cs="Times New Roman"/>
                <w:color w:val="000000"/>
              </w:rPr>
              <w:t>dist</w:t>
            </w:r>
            <w:proofErr w:type="spellEnd"/>
            <w:r w:rsidRPr="00CA07BE">
              <w:rPr>
                <w:rFonts w:ascii="Times New Roman" w:eastAsia="Cambria" w:hAnsi="Times New Roman" w:cs="Times New Roman"/>
                <w:color w:val="000000"/>
              </w:rPr>
              <w:t>/ bundle requires no server-side infrastructure</w:t>
            </w:r>
          </w:p>
        </w:tc>
      </w:tr>
      <w:tr w:rsidR="00870291" w:rsidRPr="00CA07BE" w14:paraId="322E9B2A" w14:textId="77777777">
        <w:tc>
          <w:tcPr>
            <w:tcW w:w="450" w:type="pct"/>
            <w:tcMar>
              <w:top w:w="60" w:type="dxa"/>
              <w:left w:w="90" w:type="dxa"/>
              <w:bottom w:w="60" w:type="dxa"/>
              <w:right w:w="90" w:type="dxa"/>
            </w:tcMar>
          </w:tcPr>
          <w:p w14:paraId="322E9B25"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R-02</w:t>
            </w:r>
          </w:p>
        </w:tc>
        <w:tc>
          <w:tcPr>
            <w:tcW w:w="1450" w:type="pct"/>
            <w:tcMar>
              <w:top w:w="60" w:type="dxa"/>
              <w:left w:w="90" w:type="dxa"/>
              <w:bottom w:w="60" w:type="dxa"/>
              <w:right w:w="90" w:type="dxa"/>
            </w:tcMar>
          </w:tcPr>
          <w:p w14:paraId="322E9B26"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React 18 or Vite 7 breaking change in a major version upgrade</w:t>
            </w:r>
          </w:p>
        </w:tc>
        <w:tc>
          <w:tcPr>
            <w:tcW w:w="500" w:type="pct"/>
            <w:tcMar>
              <w:top w:w="60" w:type="dxa"/>
              <w:left w:w="90" w:type="dxa"/>
              <w:bottom w:w="60" w:type="dxa"/>
              <w:right w:w="90" w:type="dxa"/>
            </w:tcMar>
          </w:tcPr>
          <w:p w14:paraId="322E9B27"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500" w:type="pct"/>
            <w:tcMar>
              <w:top w:w="60" w:type="dxa"/>
              <w:left w:w="90" w:type="dxa"/>
              <w:bottom w:w="60" w:type="dxa"/>
              <w:right w:w="90" w:type="dxa"/>
            </w:tcMar>
          </w:tcPr>
          <w:p w14:paraId="322E9B28"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2100" w:type="pct"/>
            <w:tcMar>
              <w:top w:w="60" w:type="dxa"/>
              <w:left w:w="90" w:type="dxa"/>
              <w:bottom w:w="60" w:type="dxa"/>
              <w:right w:w="90" w:type="dxa"/>
            </w:tcMar>
          </w:tcPr>
          <w:p w14:paraId="322E9B29"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Pin dependency versions in </w:t>
            </w:r>
            <w:proofErr w:type="spellStart"/>
            <w:r w:rsidRPr="00CA07BE">
              <w:rPr>
                <w:rFonts w:ascii="Times New Roman" w:eastAsia="Cambria" w:hAnsi="Times New Roman" w:cs="Times New Roman"/>
                <w:color w:val="000000"/>
              </w:rPr>
              <w:t>pnpm-lock.yaml</w:t>
            </w:r>
            <w:proofErr w:type="spellEnd"/>
            <w:r w:rsidRPr="00CA07BE">
              <w:rPr>
                <w:rFonts w:ascii="Times New Roman" w:eastAsia="Cambria" w:hAnsi="Times New Roman" w:cs="Times New Roman"/>
                <w:color w:val="000000"/>
              </w:rPr>
              <w:t>; perform upgrades on a dedicated branch with full test suite execution before merging</w:t>
            </w:r>
          </w:p>
        </w:tc>
      </w:tr>
      <w:tr w:rsidR="00870291" w:rsidRPr="00CA07BE" w14:paraId="322E9B30" w14:textId="77777777">
        <w:tc>
          <w:tcPr>
            <w:tcW w:w="450" w:type="pct"/>
            <w:tcMar>
              <w:top w:w="60" w:type="dxa"/>
              <w:left w:w="90" w:type="dxa"/>
              <w:bottom w:w="60" w:type="dxa"/>
              <w:right w:w="90" w:type="dxa"/>
            </w:tcMar>
          </w:tcPr>
          <w:p w14:paraId="322E9B2B"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R-03</w:t>
            </w:r>
          </w:p>
        </w:tc>
        <w:tc>
          <w:tcPr>
            <w:tcW w:w="1450" w:type="pct"/>
            <w:tcMar>
              <w:top w:w="60" w:type="dxa"/>
              <w:left w:w="90" w:type="dxa"/>
              <w:bottom w:w="60" w:type="dxa"/>
              <w:right w:w="90" w:type="dxa"/>
            </w:tcMar>
          </w:tcPr>
          <w:p w14:paraId="322E9B2C"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Browser API deprecation causes simulator rendering failures</w:t>
            </w:r>
          </w:p>
        </w:tc>
        <w:tc>
          <w:tcPr>
            <w:tcW w:w="500" w:type="pct"/>
            <w:tcMar>
              <w:top w:w="60" w:type="dxa"/>
              <w:left w:w="90" w:type="dxa"/>
              <w:bottom w:w="60" w:type="dxa"/>
              <w:right w:w="90" w:type="dxa"/>
            </w:tcMar>
          </w:tcPr>
          <w:p w14:paraId="322E9B2D"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Low</w:t>
            </w:r>
          </w:p>
        </w:tc>
        <w:tc>
          <w:tcPr>
            <w:tcW w:w="500" w:type="pct"/>
            <w:tcMar>
              <w:top w:w="60" w:type="dxa"/>
              <w:left w:w="90" w:type="dxa"/>
              <w:bottom w:w="60" w:type="dxa"/>
              <w:right w:w="90" w:type="dxa"/>
            </w:tcMar>
          </w:tcPr>
          <w:p w14:paraId="322E9B2E"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2100" w:type="pct"/>
            <w:tcMar>
              <w:top w:w="60" w:type="dxa"/>
              <w:left w:w="90" w:type="dxa"/>
              <w:bottom w:w="60" w:type="dxa"/>
              <w:right w:w="90" w:type="dxa"/>
            </w:tcMar>
          </w:tcPr>
          <w:p w14:paraId="322E9B2F"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Quarterly browser compatibility checks; use only stable, </w:t>
            </w:r>
            <w:proofErr w:type="gramStart"/>
            <w:r w:rsidRPr="00CA07BE">
              <w:rPr>
                <w:rFonts w:ascii="Times New Roman" w:eastAsia="Cambria" w:hAnsi="Times New Roman" w:cs="Times New Roman"/>
                <w:color w:val="000000"/>
              </w:rPr>
              <w:t>widely-supported</w:t>
            </w:r>
            <w:proofErr w:type="gramEnd"/>
            <w:r w:rsidRPr="00CA07BE">
              <w:rPr>
                <w:rFonts w:ascii="Times New Roman" w:eastAsia="Cambria" w:hAnsi="Times New Roman" w:cs="Times New Roman"/>
                <w:color w:val="000000"/>
              </w:rPr>
              <w:t xml:space="preserve"> Web APIs; monitor browser release notes</w:t>
            </w:r>
          </w:p>
        </w:tc>
      </w:tr>
      <w:tr w:rsidR="00870291" w:rsidRPr="00CA07BE" w14:paraId="322E9B36" w14:textId="77777777">
        <w:tc>
          <w:tcPr>
            <w:tcW w:w="450" w:type="pct"/>
            <w:tcMar>
              <w:top w:w="60" w:type="dxa"/>
              <w:left w:w="90" w:type="dxa"/>
              <w:bottom w:w="60" w:type="dxa"/>
              <w:right w:w="90" w:type="dxa"/>
            </w:tcMar>
          </w:tcPr>
          <w:p w14:paraId="322E9B31"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R-04</w:t>
            </w:r>
          </w:p>
        </w:tc>
        <w:tc>
          <w:tcPr>
            <w:tcW w:w="1450" w:type="pct"/>
            <w:tcMar>
              <w:top w:w="60" w:type="dxa"/>
              <w:left w:w="90" w:type="dxa"/>
              <w:bottom w:w="60" w:type="dxa"/>
              <w:right w:w="90" w:type="dxa"/>
            </w:tcMar>
          </w:tcPr>
          <w:p w14:paraId="322E9B32"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Seed event pool becomes analytically stale (correlation patterns too predictable)</w:t>
            </w:r>
          </w:p>
        </w:tc>
        <w:tc>
          <w:tcPr>
            <w:tcW w:w="500" w:type="pct"/>
            <w:tcMar>
              <w:top w:w="60" w:type="dxa"/>
              <w:left w:w="90" w:type="dxa"/>
              <w:bottom w:w="60" w:type="dxa"/>
              <w:right w:w="90" w:type="dxa"/>
            </w:tcMar>
          </w:tcPr>
          <w:p w14:paraId="322E9B33"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Low</w:t>
            </w:r>
          </w:p>
        </w:tc>
        <w:tc>
          <w:tcPr>
            <w:tcW w:w="500" w:type="pct"/>
            <w:tcMar>
              <w:top w:w="60" w:type="dxa"/>
              <w:left w:w="90" w:type="dxa"/>
              <w:bottom w:w="60" w:type="dxa"/>
              <w:right w:w="90" w:type="dxa"/>
            </w:tcMar>
          </w:tcPr>
          <w:p w14:paraId="322E9B34"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Low</w:t>
            </w:r>
          </w:p>
        </w:tc>
        <w:tc>
          <w:tcPr>
            <w:tcW w:w="2100" w:type="pct"/>
            <w:tcMar>
              <w:top w:w="60" w:type="dxa"/>
              <w:left w:w="90" w:type="dxa"/>
              <w:bottom w:w="60" w:type="dxa"/>
              <w:right w:w="90" w:type="dxa"/>
            </w:tcMar>
          </w:tcPr>
          <w:p w14:paraId="322E9B35"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Annual seed pool review; add new event types or user identities to maintain detection challenge</w:t>
            </w:r>
          </w:p>
        </w:tc>
      </w:tr>
      <w:tr w:rsidR="00870291" w:rsidRPr="00CA07BE" w14:paraId="322E9B3C" w14:textId="77777777">
        <w:tc>
          <w:tcPr>
            <w:tcW w:w="450" w:type="pct"/>
            <w:tcMar>
              <w:top w:w="60" w:type="dxa"/>
              <w:left w:w="90" w:type="dxa"/>
              <w:bottom w:w="60" w:type="dxa"/>
              <w:right w:w="90" w:type="dxa"/>
            </w:tcMar>
          </w:tcPr>
          <w:p w14:paraId="322E9B37"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R-05</w:t>
            </w:r>
          </w:p>
        </w:tc>
        <w:tc>
          <w:tcPr>
            <w:tcW w:w="1450" w:type="pct"/>
            <w:tcMar>
              <w:top w:w="60" w:type="dxa"/>
              <w:left w:w="90" w:type="dxa"/>
              <w:bottom w:w="60" w:type="dxa"/>
              <w:right w:w="90" w:type="dxa"/>
            </w:tcMar>
          </w:tcPr>
          <w:p w14:paraId="322E9B38"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TypeScript or </w:t>
            </w:r>
            <w:proofErr w:type="spellStart"/>
            <w:r w:rsidRPr="00CA07BE">
              <w:rPr>
                <w:rFonts w:ascii="Times New Roman" w:eastAsia="Cambria" w:hAnsi="Times New Roman" w:cs="Times New Roman"/>
                <w:color w:val="000000"/>
              </w:rPr>
              <w:t>pnpm</w:t>
            </w:r>
            <w:proofErr w:type="spellEnd"/>
            <w:r w:rsidRPr="00CA07BE">
              <w:rPr>
                <w:rFonts w:ascii="Times New Roman" w:eastAsia="Cambria" w:hAnsi="Times New Roman" w:cs="Times New Roman"/>
                <w:color w:val="000000"/>
              </w:rPr>
              <w:t xml:space="preserve"> ecosystem vulnerability discovered in a dependency</w:t>
            </w:r>
          </w:p>
        </w:tc>
        <w:tc>
          <w:tcPr>
            <w:tcW w:w="500" w:type="pct"/>
            <w:tcMar>
              <w:top w:w="60" w:type="dxa"/>
              <w:left w:w="90" w:type="dxa"/>
              <w:bottom w:w="60" w:type="dxa"/>
              <w:right w:w="90" w:type="dxa"/>
            </w:tcMar>
          </w:tcPr>
          <w:p w14:paraId="322E9B39"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500" w:type="pct"/>
            <w:tcMar>
              <w:top w:w="60" w:type="dxa"/>
              <w:left w:w="90" w:type="dxa"/>
              <w:bottom w:w="60" w:type="dxa"/>
              <w:right w:w="90" w:type="dxa"/>
            </w:tcMar>
          </w:tcPr>
          <w:p w14:paraId="322E9B3A"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High</w:t>
            </w:r>
          </w:p>
        </w:tc>
        <w:tc>
          <w:tcPr>
            <w:tcW w:w="2100" w:type="pct"/>
            <w:tcMar>
              <w:top w:w="60" w:type="dxa"/>
              <w:left w:w="90" w:type="dxa"/>
              <w:bottom w:w="60" w:type="dxa"/>
              <w:right w:w="90" w:type="dxa"/>
            </w:tcMar>
          </w:tcPr>
          <w:p w14:paraId="322E9B3B" w14:textId="77777777" w:rsidR="00870291" w:rsidRPr="00CA07BE" w:rsidRDefault="00CD17B6"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Monthly </w:t>
            </w:r>
            <w:proofErr w:type="spellStart"/>
            <w:r w:rsidRPr="00CA07BE">
              <w:rPr>
                <w:rFonts w:ascii="Times New Roman" w:eastAsia="Cambria" w:hAnsi="Times New Roman" w:cs="Times New Roman"/>
                <w:color w:val="000000"/>
              </w:rPr>
              <w:t>pnpm</w:t>
            </w:r>
            <w:proofErr w:type="spellEnd"/>
            <w:r w:rsidRPr="00CA07BE">
              <w:rPr>
                <w:rFonts w:ascii="Times New Roman" w:eastAsia="Cambria" w:hAnsi="Times New Roman" w:cs="Times New Roman"/>
                <w:color w:val="000000"/>
              </w:rPr>
              <w:t xml:space="preserve"> audit; update vulnerable packages in a patch release within 30 days of disclosure</w:t>
            </w:r>
          </w:p>
        </w:tc>
      </w:tr>
    </w:tbl>
    <w:p w14:paraId="322E9B3D" w14:textId="77777777" w:rsidR="00870291" w:rsidRPr="00CA07BE" w:rsidRDefault="00870291" w:rsidP="00CA07BE">
      <w:pPr>
        <w:spacing w:after="200" w:line="480" w:lineRule="auto"/>
        <w:rPr>
          <w:rFonts w:ascii="Times New Roman" w:hAnsi="Times New Roman" w:cs="Times New Roman"/>
        </w:rPr>
      </w:pPr>
    </w:p>
    <w:p w14:paraId="322E9B3E" w14:textId="77777777" w:rsidR="00870291" w:rsidRPr="00CA07BE" w:rsidRDefault="00CD17B6" w:rsidP="008655ED">
      <w:pPr>
        <w:spacing w:before="60" w:after="60" w:line="480" w:lineRule="auto"/>
        <w:ind w:firstLine="720"/>
        <w:rPr>
          <w:rFonts w:ascii="Times New Roman" w:hAnsi="Times New Roman" w:cs="Times New Roman"/>
        </w:rPr>
      </w:pPr>
      <w:r w:rsidRPr="00CA07BE">
        <w:rPr>
          <w:rFonts w:ascii="Times New Roman" w:eastAsia="Cambria" w:hAnsi="Times New Roman" w:cs="Times New Roman"/>
          <w:color w:val="000000"/>
        </w:rPr>
        <w:lastRenderedPageBreak/>
        <w:t>The risk register reflects the simulator's client-side-only architecture, which eliminates entire risk categories present in server-side systems — database breaches, API key exposure, and backend service outages are not applicable. The most consequential residual risk (R-01) has a fully documented mitigation path requiring fewer than five commands to execute (Sommerville, 2016).</w:t>
      </w:r>
    </w:p>
    <w:p w14:paraId="322E9B3F"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41" w14:textId="77777777">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40" w14:textId="77777777" w:rsidR="00870291" w:rsidRPr="00CA07BE" w:rsidRDefault="00CD17B6" w:rsidP="00CA07BE">
            <w:pPr>
              <w:spacing w:after="120" w:line="480" w:lineRule="auto"/>
              <w:jc w:val="center"/>
              <w:rPr>
                <w:rFonts w:ascii="Times New Roman" w:hAnsi="Times New Roman" w:cs="Times New Roman"/>
              </w:rPr>
            </w:pPr>
            <w:r>
              <w:rPr>
                <w:noProof/>
              </w:rPr>
              <w:lastRenderedPageBreak/>
              <w:drawing>
                <wp:inline distT="0" distB="0" distL="0" distR="0" wp14:anchorId="798C4D7B" wp14:editId="16856A36">
                  <wp:extent cx="5303520" cy="5855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7_Figure7_PnpmAudit.jpg"/>
                          <pic:cNvPicPr/>
                        </pic:nvPicPr>
                        <pic:blipFill>
                          <a:blip r:embed="rId13"/>
                          <a:stretch>
                            <a:fillRect/>
                          </a:stretch>
                        </pic:blipFill>
                        <pic:spPr>
                          <a:xfrm>
                            <a:off x="0" y="0"/>
                            <a:ext cx="5303520" cy="5855970"/>
                          </a:xfrm>
                          <a:prstGeom prst="rect">
                            <a:avLst/>
                          </a:prstGeom>
                        </pic:spPr>
                      </pic:pic>
                    </a:graphicData>
                  </a:graphic>
                </wp:inline>
              </w:drawing>
            </w:r>
          </w:p>
          <w:p w14:paraId="0BD0A6DC" w14:textId="35D6C86E" w:rsidR="00B0158E" w:rsidRDefault="00CD17B6">
            <w:pPr>
              <w:jc w:val="center"/>
            </w:pPr>
            <w:r>
              <w:rPr>
                <w:i/>
                <w:iCs/>
                <w:color w:val="595959"/>
                <w:sz w:val="18"/>
                <w:szCs w:val="18"/>
              </w:rPr>
              <w:t xml:space="preserve">[FIGURE 7: </w:t>
            </w:r>
            <w:proofErr w:type="spellStart"/>
            <w:r>
              <w:rPr>
                <w:i/>
                <w:iCs/>
                <w:color w:val="595959"/>
                <w:sz w:val="18"/>
                <w:szCs w:val="18"/>
              </w:rPr>
              <w:t>pnpm</w:t>
            </w:r>
            <w:proofErr w:type="spellEnd"/>
            <w:r>
              <w:rPr>
                <w:i/>
                <w:iCs/>
                <w:color w:val="595959"/>
                <w:sz w:val="18"/>
                <w:szCs w:val="18"/>
              </w:rPr>
              <w:t xml:space="preserve"> audit terminal output showing the current dependency vulnerability status of the v1.2.0 release — demonstrating the preventive maintenance baseline and any packages requiring updates]</w:t>
            </w:r>
          </w:p>
        </w:tc>
      </w:tr>
    </w:tbl>
    <w:p w14:paraId="322E9B42" w14:textId="77777777" w:rsidR="00870291" w:rsidRPr="00CA07BE" w:rsidRDefault="00870291" w:rsidP="00CA07BE">
      <w:pPr>
        <w:spacing w:after="240" w:line="480" w:lineRule="auto"/>
        <w:rPr>
          <w:rFonts w:ascii="Times New Roman" w:hAnsi="Times New Roman" w:cs="Times New Roman"/>
        </w:rPr>
      </w:pPr>
    </w:p>
    <w:p w14:paraId="322E9B43"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45" w14:textId="77777777">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44" w14:textId="77777777" w:rsidR="00870291" w:rsidRPr="00CA07BE" w:rsidRDefault="00CD17B6" w:rsidP="00CA07BE">
            <w:pPr>
              <w:spacing w:after="120" w:line="480" w:lineRule="auto"/>
              <w:jc w:val="center"/>
              <w:rPr>
                <w:rFonts w:ascii="Times New Roman" w:hAnsi="Times New Roman" w:cs="Times New Roman"/>
              </w:rPr>
            </w:pPr>
            <w:r>
              <w:rPr>
                <w:noProof/>
              </w:rPr>
              <w:lastRenderedPageBreak/>
              <w:drawing>
                <wp:inline distT="0" distB="0" distL="0" distR="0" wp14:anchorId="17485D48" wp14:editId="4E2F4775">
                  <wp:extent cx="5303520" cy="29832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fied-security-view_replit_app.png"/>
                          <pic:cNvPicPr/>
                        </pic:nvPicPr>
                        <pic:blipFill>
                          <a:blip r:embed="rId14"/>
                          <a:stretch>
                            <a:fillRect/>
                          </a:stretch>
                        </pic:blipFill>
                        <pic:spPr>
                          <a:xfrm>
                            <a:off x="0" y="0"/>
                            <a:ext cx="5303520" cy="2983230"/>
                          </a:xfrm>
                          <a:prstGeom prst="rect">
                            <a:avLst/>
                          </a:prstGeom>
                        </pic:spPr>
                      </pic:pic>
                    </a:graphicData>
                  </a:graphic>
                </wp:inline>
              </w:drawing>
            </w:r>
          </w:p>
          <w:p w14:paraId="5E9DFEB7" w14:textId="567EE8A7" w:rsidR="00B0158E" w:rsidRDefault="00CD17B6">
            <w:pPr>
              <w:jc w:val="center"/>
            </w:pPr>
            <w:r>
              <w:rPr>
                <w:i/>
                <w:iCs/>
                <w:color w:val="595959"/>
                <w:sz w:val="18"/>
                <w:szCs w:val="18"/>
              </w:rPr>
              <w:t xml:space="preserve">[FIGURE 8: </w:t>
            </w:r>
            <w:proofErr w:type="spellStart"/>
            <w:r>
              <w:rPr>
                <w:i/>
                <w:iCs/>
                <w:color w:val="595959"/>
                <w:sz w:val="18"/>
                <w:szCs w:val="18"/>
              </w:rPr>
              <w:t>Replit</w:t>
            </w:r>
            <w:proofErr w:type="spellEnd"/>
            <w:r>
              <w:rPr>
                <w:i/>
                <w:iCs/>
                <w:color w:val="595959"/>
                <w:sz w:val="18"/>
                <w:szCs w:val="18"/>
              </w:rPr>
              <w:t xml:space="preserve"> deployment page for unified-security-view.replit.app showing the live deployment status — used as the baseline for monitoring hosting availability and triggering R-01 migration if needed]</w:t>
            </w:r>
          </w:p>
        </w:tc>
      </w:tr>
    </w:tbl>
    <w:p w14:paraId="322E9B46" w14:textId="77777777" w:rsidR="00870291" w:rsidRDefault="00870291" w:rsidP="00CA07BE">
      <w:pPr>
        <w:spacing w:after="240" w:line="480" w:lineRule="auto"/>
        <w:rPr>
          <w:rFonts w:ascii="Times New Roman" w:hAnsi="Times New Roman" w:cs="Times New Roman"/>
        </w:rPr>
      </w:pPr>
    </w:p>
    <w:p w14:paraId="4CE05470" w14:textId="013C390A" w:rsidR="0040679E" w:rsidRDefault="0040679E" w:rsidP="00CA07BE">
      <w:pPr>
        <w:spacing w:after="240" w:line="480" w:lineRule="auto"/>
        <w:rPr>
          <w:rFonts w:ascii="Times New Roman" w:hAnsi="Times New Roman" w:cs="Times New Roman"/>
        </w:rPr>
      </w:pPr>
      <w:r>
        <w:rPr>
          <w:rFonts w:ascii="Times New Roman" w:hAnsi="Times New Roman" w:cs="Times New Roman"/>
        </w:rPr>
        <w:br w:type="page"/>
      </w:r>
    </w:p>
    <w:p w14:paraId="322E9B47" w14:textId="77777777" w:rsidR="00870291" w:rsidRPr="00CA07BE" w:rsidRDefault="00CD17B6" w:rsidP="00CA07BE">
      <w:pPr>
        <w:spacing w:before="480" w:after="60" w:line="480" w:lineRule="auto"/>
        <w:jc w:val="center"/>
        <w:rPr>
          <w:rFonts w:ascii="Times New Roman" w:hAnsi="Times New Roman" w:cs="Times New Roman"/>
        </w:rPr>
      </w:pPr>
      <w:r w:rsidRPr="00CA07BE">
        <w:rPr>
          <w:rFonts w:ascii="Times New Roman" w:eastAsia="Cambria" w:hAnsi="Times New Roman" w:cs="Times New Roman"/>
          <w:b/>
          <w:bCs/>
          <w:color w:val="000000"/>
        </w:rPr>
        <w:lastRenderedPageBreak/>
        <w:t>References</w:t>
      </w:r>
    </w:p>
    <w:p w14:paraId="322E9B48"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Bourque, P., &amp; Fairley, R. E. (Eds.). (2014). </w:t>
      </w:r>
      <w:r w:rsidRPr="00CA07BE">
        <w:rPr>
          <w:rFonts w:ascii="Times New Roman" w:eastAsia="Cambria" w:hAnsi="Times New Roman" w:cs="Times New Roman"/>
          <w:i/>
          <w:iCs/>
          <w:color w:val="000000"/>
        </w:rPr>
        <w:t>Guide to the software engineering body of knowledge (SWEBOK), version 3.0.</w:t>
      </w:r>
      <w:r w:rsidRPr="00CA07BE">
        <w:rPr>
          <w:rFonts w:ascii="Times New Roman" w:eastAsia="Cambria" w:hAnsi="Times New Roman" w:cs="Times New Roman"/>
          <w:color w:val="000000"/>
        </w:rPr>
        <w:t xml:space="preserve"> IEEE Computer Society. https://www.computer.org/education/bodies-of-knowledge/software-engineering</w:t>
      </w:r>
    </w:p>
    <w:p w14:paraId="322E9B49"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Myers, G. J., Sandler, C., &amp; Badgett, T. (2011). </w:t>
      </w:r>
      <w:r w:rsidRPr="00CA07BE">
        <w:rPr>
          <w:rFonts w:ascii="Times New Roman" w:eastAsia="Cambria" w:hAnsi="Times New Roman" w:cs="Times New Roman"/>
          <w:i/>
          <w:iCs/>
          <w:color w:val="000000"/>
        </w:rPr>
        <w:t>The art of software testing</w:t>
      </w:r>
      <w:r w:rsidRPr="00CA07BE">
        <w:rPr>
          <w:rFonts w:ascii="Times New Roman" w:eastAsia="Cambria" w:hAnsi="Times New Roman" w:cs="Times New Roman"/>
          <w:color w:val="000000"/>
        </w:rPr>
        <w:t xml:space="preserve"> (3rd ed.). John Wiley &amp; Sons.</w:t>
      </w:r>
    </w:p>
    <w:p w14:paraId="322E9B4A"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Sommerville, I. (2016). </w:t>
      </w:r>
      <w:r w:rsidRPr="00CA07BE">
        <w:rPr>
          <w:rFonts w:ascii="Times New Roman" w:eastAsia="Cambria" w:hAnsi="Times New Roman" w:cs="Times New Roman"/>
          <w:i/>
          <w:iCs/>
          <w:color w:val="000000"/>
        </w:rPr>
        <w:t>Software engineering</w:t>
      </w:r>
      <w:r w:rsidRPr="00CA07BE">
        <w:rPr>
          <w:rFonts w:ascii="Times New Roman" w:eastAsia="Cambria" w:hAnsi="Times New Roman" w:cs="Times New Roman"/>
          <w:color w:val="000000"/>
        </w:rPr>
        <w:t xml:space="preserve"> (10th ed.). Pearson.</w:t>
      </w:r>
    </w:p>
    <w:p w14:paraId="322E9B4B" w14:textId="77777777" w:rsidR="00870291" w:rsidRPr="00CA07BE" w:rsidRDefault="00CD17B6"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Summers, B. L. (2020). </w:t>
      </w:r>
      <w:r w:rsidRPr="00CA07BE">
        <w:rPr>
          <w:rFonts w:ascii="Times New Roman" w:eastAsia="Cambria" w:hAnsi="Times New Roman" w:cs="Times New Roman"/>
          <w:i/>
          <w:iCs/>
          <w:color w:val="000000"/>
        </w:rPr>
        <w:t>Effective methods for software engineering.</w:t>
      </w:r>
      <w:r w:rsidRPr="00CA07BE">
        <w:rPr>
          <w:rFonts w:ascii="Times New Roman" w:eastAsia="Cambria" w:hAnsi="Times New Roman" w:cs="Times New Roman"/>
          <w:color w:val="000000"/>
        </w:rPr>
        <w:t xml:space="preserve"> Auerbach Publishers, Incorporated.</w:t>
      </w:r>
    </w:p>
    <w:sectPr w:rsidR="00870291" w:rsidRPr="00CA07BE" w:rsidSect="0040679E">
      <w:footerReference w:type="default" r:id="rId15"/>
      <w:pgSz w:w="12240" w:h="15840"/>
      <w:pgMar w:top="1080" w:right="1440" w:bottom="108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3F3EA" w14:textId="77777777" w:rsidR="00CC7E9C" w:rsidRDefault="00CC7E9C" w:rsidP="0040679E">
      <w:r>
        <w:separator/>
      </w:r>
    </w:p>
  </w:endnote>
  <w:endnote w:type="continuationSeparator" w:id="0">
    <w:p w14:paraId="0C69F5DF" w14:textId="77777777" w:rsidR="00CC7E9C" w:rsidRDefault="00CC7E9C" w:rsidP="00406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029776"/>
      <w:docPartObj>
        <w:docPartGallery w:val="Page Numbers (Bottom of Page)"/>
        <w:docPartUnique/>
      </w:docPartObj>
    </w:sdtPr>
    <w:sdtEndPr>
      <w:rPr>
        <w:noProof/>
      </w:rPr>
    </w:sdtEndPr>
    <w:sdtContent>
      <w:p w14:paraId="359913A3" w14:textId="77777777" w:rsidR="0040679E" w:rsidRDefault="004067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932FED" w14:textId="77777777" w:rsidR="0040679E" w:rsidRDefault="004067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55B40" w14:textId="77777777" w:rsidR="00CC7E9C" w:rsidRDefault="00CC7E9C" w:rsidP="0040679E">
      <w:r>
        <w:separator/>
      </w:r>
    </w:p>
  </w:footnote>
  <w:footnote w:type="continuationSeparator" w:id="0">
    <w:p w14:paraId="09438D46" w14:textId="77777777" w:rsidR="00CC7E9C" w:rsidRDefault="00CC7E9C" w:rsidP="004067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D0632"/>
    <w:multiLevelType w:val="hybridMultilevel"/>
    <w:tmpl w:val="875C5356"/>
    <w:lvl w:ilvl="0" w:tplc="92344424">
      <w:start w:val="1"/>
      <w:numFmt w:val="bullet"/>
      <w:lvlText w:val="●"/>
      <w:lvlJc w:val="left"/>
      <w:pPr>
        <w:ind w:left="720" w:hanging="360"/>
      </w:pPr>
    </w:lvl>
    <w:lvl w:ilvl="1" w:tplc="AD06362E">
      <w:start w:val="1"/>
      <w:numFmt w:val="bullet"/>
      <w:lvlText w:val="○"/>
      <w:lvlJc w:val="left"/>
      <w:pPr>
        <w:ind w:left="1440" w:hanging="360"/>
      </w:pPr>
    </w:lvl>
    <w:lvl w:ilvl="2" w:tplc="0EE6F064">
      <w:start w:val="1"/>
      <w:numFmt w:val="bullet"/>
      <w:lvlText w:val="■"/>
      <w:lvlJc w:val="left"/>
      <w:pPr>
        <w:ind w:left="2160" w:hanging="360"/>
      </w:pPr>
    </w:lvl>
    <w:lvl w:ilvl="3" w:tplc="C17C2F22">
      <w:start w:val="1"/>
      <w:numFmt w:val="bullet"/>
      <w:lvlText w:val="●"/>
      <w:lvlJc w:val="left"/>
      <w:pPr>
        <w:ind w:left="2880" w:hanging="360"/>
      </w:pPr>
    </w:lvl>
    <w:lvl w:ilvl="4" w:tplc="AAD43576">
      <w:start w:val="1"/>
      <w:numFmt w:val="bullet"/>
      <w:lvlText w:val="○"/>
      <w:lvlJc w:val="left"/>
      <w:pPr>
        <w:ind w:left="3600" w:hanging="360"/>
      </w:pPr>
    </w:lvl>
    <w:lvl w:ilvl="5" w:tplc="7158E12E">
      <w:start w:val="1"/>
      <w:numFmt w:val="bullet"/>
      <w:lvlText w:val="■"/>
      <w:lvlJc w:val="left"/>
      <w:pPr>
        <w:ind w:left="4320" w:hanging="360"/>
      </w:pPr>
    </w:lvl>
    <w:lvl w:ilvl="6" w:tplc="2CD0AC1E">
      <w:start w:val="1"/>
      <w:numFmt w:val="bullet"/>
      <w:lvlText w:val="●"/>
      <w:lvlJc w:val="left"/>
      <w:pPr>
        <w:ind w:left="5040" w:hanging="360"/>
      </w:pPr>
    </w:lvl>
    <w:lvl w:ilvl="7" w:tplc="88CC8BB6">
      <w:start w:val="1"/>
      <w:numFmt w:val="bullet"/>
      <w:lvlText w:val="●"/>
      <w:lvlJc w:val="left"/>
      <w:pPr>
        <w:ind w:left="5760" w:hanging="360"/>
      </w:pPr>
    </w:lvl>
    <w:lvl w:ilvl="8" w:tplc="6A0005DC">
      <w:start w:val="1"/>
      <w:numFmt w:val="bullet"/>
      <w:lvlText w:val="●"/>
      <w:lvlJc w:val="left"/>
      <w:pPr>
        <w:ind w:left="6480" w:hanging="360"/>
      </w:pPr>
    </w:lvl>
  </w:abstractNum>
  <w:abstractNum w:abstractNumId="1" w15:restartNumberingAfterBreak="0">
    <w:nsid w:val="7CFB6E7B"/>
    <w:multiLevelType w:val="hybridMultilevel"/>
    <w:tmpl w:val="673CD990"/>
    <w:lvl w:ilvl="0" w:tplc="1BF86D7E">
      <w:start w:val="1"/>
      <w:numFmt w:val="decimal"/>
      <w:lvlText w:val="%1."/>
      <w:lvlJc w:val="left"/>
      <w:pPr>
        <w:ind w:left="720" w:hanging="360"/>
      </w:pPr>
    </w:lvl>
    <w:lvl w:ilvl="1" w:tplc="EDC2BA4C">
      <w:numFmt w:val="decimal"/>
      <w:lvlText w:val=""/>
      <w:lvlJc w:val="left"/>
    </w:lvl>
    <w:lvl w:ilvl="2" w:tplc="A36CFD8E">
      <w:numFmt w:val="decimal"/>
      <w:lvlText w:val=""/>
      <w:lvlJc w:val="left"/>
    </w:lvl>
    <w:lvl w:ilvl="3" w:tplc="C68C6F2E">
      <w:numFmt w:val="decimal"/>
      <w:lvlText w:val=""/>
      <w:lvlJc w:val="left"/>
    </w:lvl>
    <w:lvl w:ilvl="4" w:tplc="AEB60922">
      <w:numFmt w:val="decimal"/>
      <w:lvlText w:val=""/>
      <w:lvlJc w:val="left"/>
    </w:lvl>
    <w:lvl w:ilvl="5" w:tplc="DB865034">
      <w:numFmt w:val="decimal"/>
      <w:lvlText w:val=""/>
      <w:lvlJc w:val="left"/>
    </w:lvl>
    <w:lvl w:ilvl="6" w:tplc="38A80E48">
      <w:numFmt w:val="decimal"/>
      <w:lvlText w:val=""/>
      <w:lvlJc w:val="left"/>
    </w:lvl>
    <w:lvl w:ilvl="7" w:tplc="3232F870">
      <w:numFmt w:val="decimal"/>
      <w:lvlText w:val=""/>
      <w:lvlJc w:val="left"/>
    </w:lvl>
    <w:lvl w:ilvl="8" w:tplc="6C5093F4">
      <w:numFmt w:val="decimal"/>
      <w:lvlText w:val=""/>
      <w:lvlJc w:val="left"/>
    </w:lvl>
  </w:abstractNum>
  <w:num w:numId="1" w16cid:durableId="411894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291"/>
    <w:rsid w:val="00251D79"/>
    <w:rsid w:val="00284530"/>
    <w:rsid w:val="0040679E"/>
    <w:rsid w:val="00607375"/>
    <w:rsid w:val="008655ED"/>
    <w:rsid w:val="00870291"/>
    <w:rsid w:val="00B0158E"/>
    <w:rsid w:val="00CA07BE"/>
    <w:rsid w:val="00CC7E9C"/>
    <w:rsid w:val="00CD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E9A9B"/>
  <w15:docId w15:val="{9B8F036F-92CF-4BB7-9B6B-7A5DB504D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0679E"/>
    <w:pPr>
      <w:tabs>
        <w:tab w:val="center" w:pos="4680"/>
        <w:tab w:val="right" w:pos="9360"/>
      </w:tabs>
    </w:pPr>
  </w:style>
  <w:style w:type="character" w:customStyle="1" w:styleId="HeaderChar">
    <w:name w:val="Header Char"/>
    <w:basedOn w:val="DefaultParagraphFont"/>
    <w:link w:val="Header"/>
    <w:uiPriority w:val="99"/>
    <w:rsid w:val="0040679E"/>
  </w:style>
  <w:style w:type="paragraph" w:styleId="Footer">
    <w:name w:val="footer"/>
    <w:basedOn w:val="Normal"/>
    <w:link w:val="FooterChar"/>
    <w:uiPriority w:val="99"/>
    <w:unhideWhenUsed/>
    <w:rsid w:val="0040679E"/>
    <w:pPr>
      <w:tabs>
        <w:tab w:val="center" w:pos="4680"/>
        <w:tab w:val="right" w:pos="9360"/>
      </w:tabs>
    </w:pPr>
  </w:style>
  <w:style w:type="character" w:customStyle="1" w:styleId="FooterChar">
    <w:name w:val="Footer Char"/>
    <w:basedOn w:val="DefaultParagraphFont"/>
    <w:link w:val="Footer"/>
    <w:uiPriority w:val="99"/>
    <w:rsid w:val="00406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1923</Words>
  <Characters>12391</Characters>
  <Application>Microsoft Office Word</Application>
  <DocSecurity>0</DocSecurity>
  <Lines>399</Lines>
  <Paragraphs>155</Paragraphs>
  <ScaleCrop>false</ScaleCrop>
  <Company/>
  <LinksUpToDate>false</LinksUpToDate>
  <CharactersWithSpaces>14159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14AY6thbSDYGL7mKDS85P</dc:title>
  <dc:creator>Un-named</dc:creator>
  <dc:description>Generated document</dc:description>
  <cp:lastModifiedBy>Telieou Effectus</cp:lastModifiedBy>
  <cp:revision>4</cp:revision>
  <dcterms:created xsi:type="dcterms:W3CDTF">2026-05-22T12:53:00Z</dcterms:created>
  <dcterms:modified xsi:type="dcterms:W3CDTF">2026-05-22T15:51:00Z</dcterms:modified>
</cp:coreProperties>
</file>