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DE GESTIÓN DE VENTAS E INVENTARIO PARA NEGOCIO POPULAR</w:t>
      </w:r>
    </w:p>
    <w:p w:rsidR="00000000" w:rsidDel="00000000" w:rsidP="00000000" w:rsidRDefault="00000000" w:rsidRPr="00000000" w14:paraId="0000000F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Gestión de Proveedores</w:t>
      </w:r>
    </w:p>
    <w:p w:rsidR="00000000" w:rsidDel="00000000" w:rsidP="00000000" w:rsidRDefault="00000000" w:rsidRPr="00000000" w14:paraId="00000010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1.0.0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Información General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rHeight w:val="471.9140625" w:hRule="atLeast"/>
          <w:tblHeader w:val="0"/>
        </w:trPr>
        <w:tc>
          <w:tcPr>
            <w:tcBorders>
              <w:top w:color="80808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GESTIÓN DE VENTAS E INVENTARIO PARA NEGOCIO POPULAR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Subtítulo: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Gestión de Proveedores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1.0.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41.91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Autor: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ANÁLISIS</w:t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Lista de Cambios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2.3175461276296"/>
        <w:gridCol w:w="1451.8650840286755"/>
        <w:gridCol w:w="1362.0589963567988"/>
        <w:gridCol w:w="4969.270184510518"/>
        <w:tblGridChange w:id="0">
          <w:tblGrid>
            <w:gridCol w:w="1242.3175461276296"/>
            <w:gridCol w:w="1451.8650840286755"/>
            <w:gridCol w:w="1362.0589963567988"/>
            <w:gridCol w:w="4969.270184510518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2024-11-18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Emisión Inicial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6472ewsi6q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Diagrama de Clases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upqtg7ghb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Diagrama de Objetos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xaao1789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Diagrama de Estados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d7t0qicm4k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Diagrama de estados de 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w8ulhfg77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Diagrama de estados de proveedor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r1jxvz79r9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Diagrama de estados de productos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u6472ewsi6qm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Diagrama de Clases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wdupqtg7ghbi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Diagrama de Objetos General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6xaao1789uw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Diagrama de Estados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vd7t0qicm4ki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Diagrama de estados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529013" cy="560216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5602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hw8ulhfg774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Diagrama de estados de proveedor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86188" cy="594487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5944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sr1jxvz79r9p" w:id="5"/>
      <w:bookmarkEnd w:id="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Diagrama de estados de productos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586163" cy="54700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5470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ind w:left="1440" w:firstLine="720"/>
      <w:jc w:val="left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UNIVERSIDAD DE LAS FUERZAS ARMADAS ESPE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-224705</wp:posOffset>
          </wp:positionV>
          <wp:extent cx="791997" cy="719997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1997" cy="7199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ind w:left="1440" w:firstLine="720"/>
      <w:jc w:val="left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CONSTRUCCIÓN Y EVOLUCIÓN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