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F6B9" w14:textId="750F3658" w:rsidR="000779AA" w:rsidRPr="00566ADE" w:rsidRDefault="00B6577A" w:rsidP="009E13C8">
      <w:pPr>
        <w:jc w:val="center"/>
        <w:rPr>
          <w:rFonts w:ascii="Aptos Narrow" w:hAnsi="Aptos Narrow" w:cs="Arial"/>
          <w:b/>
          <w:bCs/>
          <w:caps/>
          <w:sz w:val="48"/>
          <w:szCs w:val="48"/>
        </w:rPr>
      </w:pPr>
      <w:r w:rsidRPr="00566ADE">
        <w:rPr>
          <w:rFonts w:ascii="Aptos Narrow" w:hAnsi="Aptos Narrow" w:cs="Arial"/>
          <w:b/>
          <w:bCs/>
          <w:cap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BE65300" wp14:editId="50384AF6">
            <wp:simplePos x="0" y="0"/>
            <wp:positionH relativeFrom="column">
              <wp:posOffset>-913970</wp:posOffset>
            </wp:positionH>
            <wp:positionV relativeFrom="page">
              <wp:align>top</wp:align>
            </wp:positionV>
            <wp:extent cx="7772400" cy="1828800"/>
            <wp:effectExtent l="0" t="0" r="0" b="0"/>
            <wp:wrapTopAndBottom/>
            <wp:docPr id="1027517495" name="Picture 1027517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7495" name="Picture 1027517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3C8" w:rsidRPr="00566ADE">
        <w:rPr>
          <w:rFonts w:ascii="Aptos Narrow" w:hAnsi="Aptos Narrow" w:cs="Arial"/>
          <w:b/>
          <w:bCs/>
          <w:cap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DBBF69" wp14:editId="1D62D860">
                <wp:simplePos x="0" y="0"/>
                <wp:positionH relativeFrom="page">
                  <wp:align>center</wp:align>
                </wp:positionH>
                <wp:positionV relativeFrom="page">
                  <wp:posOffset>914400</wp:posOffset>
                </wp:positionV>
                <wp:extent cx="7772400" cy="914400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BE498" w14:textId="629871CD" w:rsidR="009E13C8" w:rsidRPr="00566ADE" w:rsidRDefault="0086297F" w:rsidP="008D1178">
                            <w:pPr>
                              <w:ind w:right="49"/>
                              <w:jc w:val="center"/>
                              <w:rPr>
                                <w:rFonts w:ascii="Aptos SemiBold" w:hAnsi="Aptos SemiBold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566ADE">
                              <w:rPr>
                                <w:rFonts w:ascii="Aptos SemiBold" w:hAnsi="Aptos SemiBold"/>
                                <w:color w:val="FFFFFF" w:themeColor="background1"/>
                                <w:sz w:val="96"/>
                                <w:szCs w:val="96"/>
                              </w:rPr>
                              <w:t>TELLUSANT QUICK READS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BBF69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0;margin-top:1in;width:612pt;height:1in;z-index:251658241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" filled="f" stroked="f">
                <v:textbox>
                  <w:txbxContent>
                    <w:p w14:paraId="3C3BE498" w14:textId="629871CD" w:rsidR="009E13C8" w:rsidRPr="00566ADE" w:rsidRDefault="0086297F" w:rsidP="008D1178">
                      <w:pPr>
                        <w:ind w:right="49"/>
                        <w:jc w:val="center"/>
                        <w:rPr>
                          <w:rFonts w:ascii="Aptos SemiBold" w:hAnsi="Aptos SemiBold"/>
                          <w:color w:val="FFFFFF" w:themeColor="background1"/>
                          <w:sz w:val="96"/>
                          <w:szCs w:val="96"/>
                        </w:rPr>
                      </w:pPr>
                      <w:r w:rsidRPr="00566ADE">
                        <w:rPr>
                          <w:rFonts w:ascii="Aptos SemiBold" w:hAnsi="Aptos SemiBold"/>
                          <w:color w:val="FFFFFF" w:themeColor="background1"/>
                          <w:sz w:val="96"/>
                          <w:szCs w:val="96"/>
                        </w:rPr>
                        <w:t>TELLUSANT QUICK READS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FB12C5" w:rsidRPr="00FB12C5">
        <w:t xml:space="preserve"> </w:t>
      </w:r>
      <w:r w:rsidR="00B26047" w:rsidRPr="00B26047">
        <w:rPr>
          <w:rFonts w:ascii="Aptos Narrow" w:hAnsi="Aptos Narrow" w:cs="Arial"/>
          <w:b/>
          <w:bCs/>
          <w:caps/>
          <w:noProof/>
          <w:sz w:val="48"/>
          <w:szCs w:val="48"/>
        </w:rPr>
        <w:t>EX-POST AND EX-ANTE VALIDATION OF STATISTICAL MODELS</w:t>
      </w:r>
    </w:p>
    <w:p w14:paraId="5E5C7AC9" w14:textId="77777777" w:rsidR="00E56423" w:rsidRPr="005A42CD" w:rsidRDefault="00E56423" w:rsidP="003D0A23">
      <w:pPr>
        <w:pBdr>
          <w:bottom w:val="single" w:sz="4" w:space="1" w:color="auto"/>
        </w:pBdr>
        <w:spacing w:after="120"/>
        <w:rPr>
          <w:rFonts w:ascii="Arial" w:hAnsi="Arial" w:cs="Arial"/>
          <w:b/>
          <w:bCs/>
          <w:caps/>
          <w:sz w:val="24"/>
          <w:szCs w:val="24"/>
        </w:rPr>
      </w:pPr>
      <w:r w:rsidRPr="005A42CD">
        <w:rPr>
          <w:rFonts w:ascii="Arial" w:hAnsi="Arial" w:cs="Arial"/>
          <w:b/>
          <w:bCs/>
          <w:caps/>
          <w:sz w:val="24"/>
          <w:szCs w:val="24"/>
        </w:rPr>
        <w:t>Validation Design</w:t>
      </w:r>
    </w:p>
    <w:p w14:paraId="1CDF4F35" w14:textId="05E85C3B" w:rsidR="00E56423" w:rsidRPr="00E56423" w:rsidRDefault="00E56423" w:rsidP="00F11060">
      <w:pPr>
        <w:pBdr>
          <w:bottom w:val="single" w:sz="4" w:space="1" w:color="auto"/>
        </w:pBdr>
        <w:spacing w:after="0"/>
        <w:rPr>
          <w:rFonts w:ascii="Cambria" w:hAnsi="Cambria" w:cs="Arial"/>
          <w:sz w:val="24"/>
          <w:szCs w:val="24"/>
        </w:rPr>
      </w:pPr>
      <w:r w:rsidRPr="00E56423">
        <w:rPr>
          <w:rFonts w:ascii="Cambria" w:hAnsi="Cambria" w:cs="Arial"/>
          <w:sz w:val="24"/>
          <w:szCs w:val="24"/>
        </w:rPr>
        <w:t xml:space="preserve">We evaluate model performance using a pseudo out-of-sample holdout framework. For each specification, the model is estimated using data available up to a fixed forecast origin (training window of 5–20 years). Let </w:t>
      </w:r>
      <w:proofErr w:type="spellStart"/>
      <w:r w:rsidRPr="00794318">
        <w:rPr>
          <w:rFonts w:ascii="Cambria" w:hAnsi="Cambria" w:cs="Arial"/>
          <w:i/>
          <w:iCs/>
          <w:sz w:val="24"/>
          <w:szCs w:val="24"/>
        </w:rPr>
        <w:t>Y</w:t>
      </w:r>
      <w:r w:rsidR="00557CEF" w:rsidRPr="00794318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E56423">
        <w:rPr>
          <w:rFonts w:ascii="Cambria" w:hAnsi="Cambria" w:cs="Arial"/>
          <w:sz w:val="24"/>
          <w:szCs w:val="24"/>
        </w:rPr>
        <w:t xml:space="preserve"> denote the dependent variable and </w:t>
      </w:r>
      <w:proofErr w:type="spellStart"/>
      <w:r w:rsidRPr="00794318">
        <w:rPr>
          <w:rFonts w:ascii="Cambria" w:hAnsi="Cambria" w:cs="Arial"/>
          <w:i/>
          <w:iCs/>
          <w:sz w:val="24"/>
          <w:szCs w:val="24"/>
        </w:rPr>
        <w:t>X</w:t>
      </w:r>
      <w:r w:rsidR="00557CEF" w:rsidRPr="00794318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E56423">
        <w:rPr>
          <w:rFonts w:ascii="Cambria" w:hAnsi="Cambria" w:cs="Arial"/>
          <w:sz w:val="24"/>
          <w:szCs w:val="24"/>
        </w:rPr>
        <w:t xml:space="preserve"> the vector of independent variables. The model is estimated using observations {</w:t>
      </w:r>
      <w:proofErr w:type="spellStart"/>
      <w:r w:rsidR="00557CEF" w:rsidRPr="00794318">
        <w:rPr>
          <w:rFonts w:ascii="Cambria" w:hAnsi="Cambria" w:cs="Arial"/>
          <w:i/>
          <w:iCs/>
          <w:sz w:val="24"/>
          <w:szCs w:val="24"/>
        </w:rPr>
        <w:t>Y</w:t>
      </w:r>
      <w:r w:rsidR="00557CEF" w:rsidRPr="00794318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794318">
        <w:rPr>
          <w:rFonts w:ascii="Cambria" w:hAnsi="Cambria" w:cs="Arial"/>
          <w:i/>
          <w:iCs/>
          <w:sz w:val="24"/>
          <w:szCs w:val="24"/>
        </w:rPr>
        <w:t xml:space="preserve">, </w:t>
      </w:r>
      <w:proofErr w:type="spellStart"/>
      <w:proofErr w:type="gramStart"/>
      <w:r w:rsidR="00557CEF" w:rsidRPr="00794318">
        <w:rPr>
          <w:rFonts w:ascii="Cambria" w:hAnsi="Cambria" w:cs="Arial"/>
          <w:i/>
          <w:iCs/>
          <w:sz w:val="24"/>
          <w:szCs w:val="24"/>
        </w:rPr>
        <w:t>X</w:t>
      </w:r>
      <w:r w:rsidR="00557CEF" w:rsidRPr="00794318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557CEF" w:rsidRPr="00E56423">
        <w:rPr>
          <w:rFonts w:ascii="Cambria" w:hAnsi="Cambria" w:cs="Arial"/>
          <w:sz w:val="24"/>
          <w:szCs w:val="24"/>
        </w:rPr>
        <w:t xml:space="preserve"> </w:t>
      </w:r>
      <w:r w:rsidRPr="00E56423">
        <w:rPr>
          <w:rFonts w:ascii="Cambria" w:hAnsi="Cambria" w:cs="Arial"/>
          <w:sz w:val="24"/>
          <w:szCs w:val="24"/>
        </w:rPr>
        <w:t>}</w:t>
      </w:r>
      <w:proofErr w:type="gramEnd"/>
      <w:r w:rsidRPr="00E56423">
        <w:rPr>
          <w:rFonts w:ascii="Cambria" w:hAnsi="Cambria" w:cs="Arial"/>
          <w:sz w:val="24"/>
          <w:szCs w:val="24"/>
        </w:rPr>
        <w:t xml:space="preserve"> for </w:t>
      </w:r>
      <w:r w:rsidRPr="00794318">
        <w:rPr>
          <w:rFonts w:ascii="Cambria" w:hAnsi="Cambria" w:cs="Arial"/>
          <w:i/>
          <w:iCs/>
          <w:sz w:val="24"/>
          <w:szCs w:val="24"/>
        </w:rPr>
        <w:t>t</w:t>
      </w:r>
      <w:r w:rsidRPr="00E56423">
        <w:rPr>
          <w:rFonts w:ascii="Cambria" w:hAnsi="Cambria" w:cs="Arial"/>
          <w:sz w:val="24"/>
          <w:szCs w:val="24"/>
        </w:rPr>
        <w:t xml:space="preserve"> ≤ </w:t>
      </w:r>
      <w:r w:rsidRPr="00794318">
        <w:rPr>
          <w:rFonts w:ascii="Cambria" w:hAnsi="Cambria" w:cs="Arial"/>
          <w:i/>
          <w:iCs/>
          <w:sz w:val="24"/>
          <w:szCs w:val="24"/>
        </w:rPr>
        <w:t>T</w:t>
      </w:r>
      <w:r w:rsidRPr="00E56423">
        <w:rPr>
          <w:rFonts w:ascii="Cambria" w:hAnsi="Cambria" w:cs="Arial"/>
          <w:sz w:val="24"/>
          <w:szCs w:val="24"/>
        </w:rPr>
        <w:t xml:space="preserve">, and forecasts are generated for </w:t>
      </w:r>
      <w:r w:rsidRPr="00794318">
        <w:rPr>
          <w:rFonts w:ascii="Cambria" w:hAnsi="Cambria" w:cs="Arial"/>
          <w:i/>
          <w:iCs/>
          <w:sz w:val="24"/>
          <w:szCs w:val="24"/>
        </w:rPr>
        <w:t>t</w:t>
      </w:r>
      <w:r w:rsidRPr="00E56423">
        <w:rPr>
          <w:rFonts w:ascii="Cambria" w:hAnsi="Cambria" w:cs="Arial"/>
          <w:sz w:val="24"/>
          <w:szCs w:val="24"/>
        </w:rPr>
        <w:t xml:space="preserve"> </w:t>
      </w:r>
      <w:r w:rsidR="00BB2E9B">
        <w:rPr>
          <w:rFonts w:ascii="Cambria" w:hAnsi="Cambria" w:cs="Arial"/>
          <w:sz w:val="24"/>
          <w:szCs w:val="24"/>
        </w:rPr>
        <w:t>=</w:t>
      </w:r>
      <w:r w:rsidRPr="00E56423">
        <w:rPr>
          <w:rFonts w:ascii="Cambria" w:hAnsi="Cambria" w:cs="Arial"/>
          <w:sz w:val="24"/>
          <w:szCs w:val="24"/>
        </w:rPr>
        <w:t xml:space="preserve"> </w:t>
      </w:r>
      <w:r w:rsidRPr="00794318">
        <w:rPr>
          <w:rFonts w:ascii="Cambria" w:hAnsi="Cambria" w:cs="Arial"/>
          <w:i/>
          <w:iCs/>
          <w:sz w:val="24"/>
          <w:szCs w:val="24"/>
        </w:rPr>
        <w:t>T</w:t>
      </w:r>
      <w:r w:rsidRPr="00E56423">
        <w:rPr>
          <w:rFonts w:ascii="Cambria" w:hAnsi="Cambria" w:cs="Arial"/>
          <w:sz w:val="24"/>
          <w:szCs w:val="24"/>
        </w:rPr>
        <w:t xml:space="preserve">+1, …, </w:t>
      </w:r>
      <w:r w:rsidRPr="00794318">
        <w:rPr>
          <w:rFonts w:ascii="Cambria" w:hAnsi="Cambria" w:cs="Arial"/>
          <w:i/>
          <w:iCs/>
          <w:sz w:val="24"/>
          <w:szCs w:val="24"/>
        </w:rPr>
        <w:t>T</w:t>
      </w:r>
      <w:r w:rsidRPr="00E56423">
        <w:rPr>
          <w:rFonts w:ascii="Cambria" w:hAnsi="Cambria" w:cs="Arial"/>
          <w:sz w:val="24"/>
          <w:szCs w:val="24"/>
        </w:rPr>
        <w:t>+</w:t>
      </w:r>
      <w:r w:rsidRPr="00794318">
        <w:rPr>
          <w:rFonts w:ascii="Cambria" w:hAnsi="Cambria" w:cs="Arial"/>
          <w:i/>
          <w:iCs/>
          <w:sz w:val="24"/>
          <w:szCs w:val="24"/>
        </w:rPr>
        <w:t>H</w:t>
      </w:r>
      <w:r w:rsidRPr="00E56423">
        <w:rPr>
          <w:rFonts w:ascii="Cambria" w:hAnsi="Cambria" w:cs="Arial"/>
          <w:sz w:val="24"/>
          <w:szCs w:val="24"/>
        </w:rPr>
        <w:t xml:space="preserve"> (</w:t>
      </w:r>
      <w:r w:rsidRPr="00A82A57">
        <w:rPr>
          <w:rFonts w:ascii="Cambria" w:hAnsi="Cambria" w:cs="Arial"/>
          <w:i/>
          <w:iCs/>
          <w:sz w:val="24"/>
          <w:szCs w:val="24"/>
        </w:rPr>
        <w:t>H</w:t>
      </w:r>
      <w:r w:rsidRPr="00E56423">
        <w:rPr>
          <w:rFonts w:ascii="Cambria" w:hAnsi="Cambria" w:cs="Arial"/>
          <w:sz w:val="24"/>
          <w:szCs w:val="24"/>
        </w:rPr>
        <w:t xml:space="preserve"> = </w:t>
      </w:r>
      <w:r w:rsidR="00352EE0">
        <w:rPr>
          <w:rFonts w:ascii="Cambria" w:hAnsi="Cambria" w:cs="Arial"/>
          <w:sz w:val="24"/>
          <w:szCs w:val="24"/>
        </w:rPr>
        <w:t xml:space="preserve">e.g., </w:t>
      </w:r>
      <w:r w:rsidRPr="00E56423">
        <w:rPr>
          <w:rFonts w:ascii="Cambria" w:hAnsi="Cambria" w:cs="Arial"/>
          <w:sz w:val="24"/>
          <w:szCs w:val="24"/>
        </w:rPr>
        <w:t xml:space="preserve">5 years </w:t>
      </w:r>
      <w:r w:rsidR="00BB2E9B">
        <w:rPr>
          <w:rFonts w:ascii="Cambria" w:hAnsi="Cambria" w:cs="Arial"/>
          <w:sz w:val="24"/>
          <w:szCs w:val="24"/>
        </w:rPr>
        <w:t xml:space="preserve">horizon </w:t>
      </w:r>
      <w:r w:rsidRPr="00E56423">
        <w:rPr>
          <w:rFonts w:ascii="Cambria" w:hAnsi="Cambria" w:cs="Arial"/>
          <w:sz w:val="24"/>
          <w:szCs w:val="24"/>
        </w:rPr>
        <w:t>in our application).</w:t>
      </w:r>
      <w:r w:rsidR="00F11060">
        <w:rPr>
          <w:rFonts w:ascii="Cambria" w:hAnsi="Cambria" w:cs="Arial"/>
          <w:sz w:val="24"/>
          <w:szCs w:val="24"/>
        </w:rPr>
        <w:br/>
      </w:r>
    </w:p>
    <w:p w14:paraId="7D82BD43" w14:textId="076100D6" w:rsidR="00E56423" w:rsidRDefault="00F11060" w:rsidP="00E56423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78C95A11" wp14:editId="2F69B8E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639185" cy="3186430"/>
            <wp:effectExtent l="0" t="0" r="0" b="0"/>
            <wp:wrapTopAndBottom/>
            <wp:docPr id="13013913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1362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3186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23" w:rsidRPr="00E56423">
        <w:rPr>
          <w:rFonts w:ascii="Cambria" w:hAnsi="Cambria" w:cs="Arial"/>
          <w:sz w:val="24"/>
          <w:szCs w:val="24"/>
        </w:rPr>
        <w:t xml:space="preserve">Importantly, forecasts over the holdout period are constructed </w:t>
      </w:r>
      <w:proofErr w:type="gramStart"/>
      <w:r w:rsidR="00E56423" w:rsidRPr="00BB2E9B">
        <w:rPr>
          <w:rFonts w:ascii="Cambria" w:hAnsi="Cambria" w:cs="Arial"/>
          <w:sz w:val="24"/>
          <w:szCs w:val="24"/>
          <w:u w:val="single"/>
        </w:rPr>
        <w:t>conditional</w:t>
      </w:r>
      <w:proofErr w:type="gramEnd"/>
      <w:r w:rsidR="00E56423" w:rsidRPr="00BB2E9B">
        <w:rPr>
          <w:rFonts w:ascii="Cambria" w:hAnsi="Cambria" w:cs="Arial"/>
          <w:sz w:val="24"/>
          <w:szCs w:val="24"/>
          <w:u w:val="single"/>
        </w:rPr>
        <w:t xml:space="preserve"> on the realized values of the independent variables</w:t>
      </w:r>
      <w:r w:rsidR="00E56423" w:rsidRPr="00E56423">
        <w:rPr>
          <w:rFonts w:ascii="Cambria" w:hAnsi="Cambria" w:cs="Arial"/>
          <w:sz w:val="24"/>
          <w:szCs w:val="24"/>
        </w:rPr>
        <w:t xml:space="preserve">. That is, forecasts take the form </w:t>
      </w:r>
      <w:r w:rsidR="00E56423" w:rsidRPr="00A82A57">
        <w:rPr>
          <w:rFonts w:ascii="Cambria" w:hAnsi="Cambria" w:cs="Arial"/>
          <w:i/>
          <w:iCs/>
          <w:sz w:val="24"/>
          <w:szCs w:val="24"/>
        </w:rPr>
        <w:t>Ŷ</w:t>
      </w:r>
      <w:r w:rsidR="00BB4551">
        <w:rPr>
          <w:rFonts w:ascii="Cambria" w:hAnsi="Cambria" w:cs="Arial"/>
          <w:sz w:val="24"/>
          <w:szCs w:val="24"/>
        </w:rPr>
        <w:t xml:space="preserve"> </w:t>
      </w:r>
      <w:r w:rsidR="00E56423" w:rsidRPr="00E56423">
        <w:rPr>
          <w:rFonts w:ascii="Cambria" w:hAnsi="Cambria" w:cs="Arial"/>
          <w:sz w:val="24"/>
          <w:szCs w:val="24"/>
        </w:rPr>
        <w:t xml:space="preserve">where </w:t>
      </w:r>
      <w:proofErr w:type="spellStart"/>
      <w:r w:rsidR="00E56423" w:rsidRPr="00A82A57">
        <w:rPr>
          <w:rFonts w:ascii="Cambria" w:hAnsi="Cambria" w:cs="Arial"/>
          <w:i/>
          <w:iCs/>
          <w:sz w:val="24"/>
          <w:szCs w:val="24"/>
        </w:rPr>
        <w:t>X</w:t>
      </w:r>
      <w:r w:rsidR="00BB4551" w:rsidRPr="00A82A57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E56423" w:rsidRPr="00E56423">
        <w:rPr>
          <w:rFonts w:ascii="Cambria" w:hAnsi="Cambria" w:cs="Arial"/>
          <w:sz w:val="24"/>
          <w:szCs w:val="24"/>
        </w:rPr>
        <w:t xml:space="preserve"> are the actual </w:t>
      </w:r>
      <w:proofErr w:type="gramStart"/>
      <w:r w:rsidR="00E56423" w:rsidRPr="00E56423">
        <w:rPr>
          <w:rFonts w:ascii="Cambria" w:hAnsi="Cambria" w:cs="Arial"/>
          <w:sz w:val="24"/>
          <w:szCs w:val="24"/>
        </w:rPr>
        <w:t>observed values</w:t>
      </w:r>
      <w:proofErr w:type="gramEnd"/>
      <w:r w:rsidR="00E56423" w:rsidRPr="00E56423">
        <w:rPr>
          <w:rFonts w:ascii="Cambria" w:hAnsi="Cambria" w:cs="Arial"/>
          <w:sz w:val="24"/>
          <w:szCs w:val="24"/>
        </w:rPr>
        <w:t xml:space="preserve"> in the holdout period, rather than forecasts of</w:t>
      </w:r>
      <w:r w:rsidR="00E20EFE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="00E20EFE" w:rsidRPr="00A82A57">
        <w:rPr>
          <w:rFonts w:ascii="Cambria" w:hAnsi="Cambria" w:cs="Arial"/>
          <w:i/>
          <w:iCs/>
          <w:sz w:val="24"/>
          <w:szCs w:val="24"/>
        </w:rPr>
        <w:t>X</w:t>
      </w:r>
      <w:r w:rsidR="00E20EFE" w:rsidRPr="00A82A57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E56423" w:rsidRPr="00E56423">
        <w:rPr>
          <w:rFonts w:ascii="Cambria" w:hAnsi="Cambria" w:cs="Arial"/>
          <w:sz w:val="24"/>
          <w:szCs w:val="24"/>
        </w:rPr>
        <w:t xml:space="preserve"> that would have been available at time </w:t>
      </w:r>
      <w:r w:rsidR="00E56423" w:rsidRPr="00A82A57">
        <w:rPr>
          <w:rFonts w:ascii="Cambria" w:hAnsi="Cambria" w:cs="Arial"/>
          <w:i/>
          <w:iCs/>
          <w:sz w:val="24"/>
          <w:szCs w:val="24"/>
        </w:rPr>
        <w:t>T</w:t>
      </w:r>
      <w:r w:rsidR="00E56423" w:rsidRPr="00E56423">
        <w:rPr>
          <w:rFonts w:ascii="Cambria" w:hAnsi="Cambria" w:cs="Arial"/>
          <w:sz w:val="24"/>
          <w:szCs w:val="24"/>
        </w:rPr>
        <w:t>.</w:t>
      </w:r>
    </w:p>
    <w:p w14:paraId="478B872C" w14:textId="636DD3BE" w:rsidR="00892162" w:rsidRPr="00E56423" w:rsidRDefault="00892162" w:rsidP="00E56423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</w:p>
    <w:p w14:paraId="33D0480A" w14:textId="3AF46FF4" w:rsidR="002770C0" w:rsidRDefault="00E56423" w:rsidP="00B170DF">
      <w:pPr>
        <w:pBdr>
          <w:bottom w:val="single" w:sz="4" w:space="1" w:color="auto"/>
        </w:pBdr>
        <w:spacing w:after="0"/>
        <w:rPr>
          <w:rFonts w:ascii="Cambria" w:hAnsi="Cambria" w:cs="Arial"/>
          <w:sz w:val="24"/>
          <w:szCs w:val="24"/>
        </w:rPr>
      </w:pPr>
      <w:r w:rsidRPr="00E56423">
        <w:rPr>
          <w:rFonts w:ascii="Cambria" w:hAnsi="Cambria" w:cs="Arial"/>
          <w:sz w:val="24"/>
          <w:szCs w:val="24"/>
        </w:rPr>
        <w:t xml:space="preserve">Forecast accuracy is assessed using </w:t>
      </w:r>
      <w:r w:rsidR="007B38A6">
        <w:rPr>
          <w:rFonts w:ascii="Cambria" w:hAnsi="Cambria" w:cs="Arial"/>
          <w:sz w:val="24"/>
          <w:szCs w:val="24"/>
        </w:rPr>
        <w:t xml:space="preserve">symmetric </w:t>
      </w:r>
      <w:r w:rsidRPr="00E56423">
        <w:rPr>
          <w:rFonts w:ascii="Cambria" w:hAnsi="Cambria" w:cs="Arial"/>
          <w:sz w:val="24"/>
          <w:szCs w:val="24"/>
        </w:rPr>
        <w:t>Mean Absolute Percentage Error (MAPE) over the holdout period</w:t>
      </w:r>
      <w:r w:rsidR="007B38A6">
        <w:rPr>
          <w:rFonts w:ascii="Cambria" w:hAnsi="Cambria" w:cs="Arial"/>
          <w:sz w:val="24"/>
          <w:szCs w:val="24"/>
        </w:rPr>
        <w:t xml:space="preserve">, using a </w:t>
      </w:r>
      <w:proofErr w:type="gramStart"/>
      <w:r w:rsidR="007B38A6">
        <w:rPr>
          <w:rFonts w:ascii="Cambria" w:hAnsi="Cambria" w:cs="Arial"/>
          <w:sz w:val="24"/>
          <w:szCs w:val="24"/>
        </w:rPr>
        <w:t>Möbius</w:t>
      </w:r>
      <w:r w:rsidR="00E85B32">
        <w:rPr>
          <w:rFonts w:ascii="Cambria" w:hAnsi="Cambria" w:cs="Arial"/>
          <w:sz w:val="24"/>
          <w:szCs w:val="24"/>
        </w:rPr>
        <w:t>[</w:t>
      </w:r>
      <w:proofErr w:type="gramEnd"/>
      <w:r w:rsidR="00B3210A">
        <w:rPr>
          <w:rFonts w:ascii="Cambria" w:hAnsi="Cambria" w:cs="Arial"/>
          <w:sz w:val="24"/>
          <w:szCs w:val="24"/>
        </w:rPr>
        <w:t>1</w:t>
      </w:r>
      <w:r w:rsidR="00BA3957">
        <w:rPr>
          <w:rFonts w:ascii="Cambria" w:hAnsi="Cambria" w:cs="Arial"/>
          <w:sz w:val="24"/>
          <w:szCs w:val="24"/>
        </w:rPr>
        <w:t>,0,1,2</w:t>
      </w:r>
      <w:r w:rsidR="00E85B32">
        <w:rPr>
          <w:rFonts w:ascii="Cambria" w:hAnsi="Cambria" w:cs="Arial"/>
          <w:sz w:val="24"/>
          <w:szCs w:val="24"/>
        </w:rPr>
        <w:t>] transformation</w:t>
      </w:r>
      <w:r w:rsidRPr="00E56423">
        <w:rPr>
          <w:rFonts w:ascii="Cambria" w:hAnsi="Cambria" w:cs="Arial"/>
          <w:sz w:val="24"/>
          <w:szCs w:val="24"/>
        </w:rPr>
        <w:t>.</w:t>
      </w:r>
      <w:r w:rsidR="00B170DF">
        <w:rPr>
          <w:rFonts w:ascii="Cambria" w:hAnsi="Cambria" w:cs="Arial"/>
          <w:sz w:val="24"/>
          <w:szCs w:val="24"/>
        </w:rPr>
        <w:br/>
      </w:r>
    </w:p>
    <w:p w14:paraId="41F1F3D8" w14:textId="77777777" w:rsidR="00863114" w:rsidRPr="005A42CD" w:rsidRDefault="00863114" w:rsidP="003D0A23">
      <w:pPr>
        <w:pBdr>
          <w:bottom w:val="single" w:sz="4" w:space="1" w:color="auto"/>
        </w:pBdr>
        <w:spacing w:after="120"/>
        <w:rPr>
          <w:rFonts w:ascii="Arial" w:hAnsi="Arial" w:cs="Arial"/>
          <w:b/>
          <w:bCs/>
          <w:caps/>
          <w:sz w:val="24"/>
          <w:szCs w:val="24"/>
        </w:rPr>
      </w:pPr>
      <w:r w:rsidRPr="005A42CD">
        <w:rPr>
          <w:rFonts w:ascii="Arial" w:hAnsi="Arial" w:cs="Arial"/>
          <w:b/>
          <w:bCs/>
          <w:caps/>
          <w:sz w:val="24"/>
          <w:szCs w:val="24"/>
        </w:rPr>
        <w:lastRenderedPageBreak/>
        <w:t>Interpretation</w:t>
      </w:r>
    </w:p>
    <w:p w14:paraId="7A246EAC" w14:textId="30985D82" w:rsidR="00863114" w:rsidRPr="00863114" w:rsidRDefault="00863114" w:rsidP="00863114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  <w:r w:rsidRPr="003A26BD">
        <w:rPr>
          <w:rFonts w:ascii="Cambria" w:hAnsi="Cambria" w:cs="Arial"/>
          <w:sz w:val="24"/>
          <w:szCs w:val="24"/>
        </w:rPr>
        <w:t xml:space="preserve">This evaluation corresponds to a conditional ex-post forecast </w:t>
      </w:r>
      <w:r w:rsidR="00D202EC" w:rsidRPr="003A26BD">
        <w:rPr>
          <w:rFonts w:ascii="Cambria" w:hAnsi="Cambria" w:cs="Arial"/>
          <w:sz w:val="24"/>
          <w:szCs w:val="24"/>
        </w:rPr>
        <w:t xml:space="preserve">(conditional on X being known) </w:t>
      </w:r>
      <w:r w:rsidRPr="003A26BD">
        <w:rPr>
          <w:rFonts w:ascii="Cambria" w:hAnsi="Cambria" w:cs="Arial"/>
          <w:sz w:val="24"/>
          <w:szCs w:val="24"/>
        </w:rPr>
        <w:t>rather than a fully operational ex-ante forecast. As such,</w:t>
      </w:r>
      <w:r w:rsidRPr="00863114">
        <w:rPr>
          <w:rFonts w:ascii="Cambria" w:hAnsi="Cambria" w:cs="Arial"/>
          <w:sz w:val="24"/>
          <w:szCs w:val="24"/>
        </w:rPr>
        <w:t xml:space="preserve"> it measures the model’s ability to map predictors </w:t>
      </w:r>
      <w:proofErr w:type="spellStart"/>
      <w:r w:rsidR="00D202EC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D202EC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D202EC" w:rsidRPr="00863114">
        <w:rPr>
          <w:rFonts w:ascii="Cambria" w:hAnsi="Cambria" w:cs="Arial"/>
          <w:sz w:val="24"/>
          <w:szCs w:val="24"/>
        </w:rPr>
        <w:t xml:space="preserve"> </w:t>
      </w:r>
      <w:r w:rsidRPr="00863114">
        <w:rPr>
          <w:rFonts w:ascii="Cambria" w:hAnsi="Cambria" w:cs="Arial"/>
          <w:sz w:val="24"/>
          <w:szCs w:val="24"/>
        </w:rPr>
        <w:t xml:space="preserve">to outcomes </w:t>
      </w:r>
      <w:proofErr w:type="spellStart"/>
      <w:r w:rsidR="00D202EC" w:rsidRPr="009A1215">
        <w:rPr>
          <w:rFonts w:ascii="Cambria" w:hAnsi="Cambria" w:cs="Arial"/>
          <w:i/>
          <w:iCs/>
          <w:sz w:val="24"/>
          <w:szCs w:val="24"/>
        </w:rPr>
        <w:t>Y</w:t>
      </w:r>
      <w:r w:rsidR="00D202EC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D202EC" w:rsidRPr="00863114">
        <w:rPr>
          <w:rFonts w:ascii="Cambria" w:hAnsi="Cambria" w:cs="Arial"/>
          <w:sz w:val="24"/>
          <w:szCs w:val="24"/>
        </w:rPr>
        <w:t xml:space="preserve"> </w:t>
      </w:r>
      <w:r w:rsidRPr="00863114">
        <w:rPr>
          <w:rFonts w:ascii="Cambria" w:hAnsi="Cambria" w:cs="Arial"/>
          <w:sz w:val="24"/>
          <w:szCs w:val="24"/>
        </w:rPr>
        <w:t xml:space="preserve">assuming perfect knowledge of future </w:t>
      </w:r>
      <w:proofErr w:type="spellStart"/>
      <w:r w:rsidR="00D202EC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D202EC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r w:rsidRPr="00863114">
        <w:rPr>
          <w:rFonts w:ascii="Cambria" w:hAnsi="Cambria" w:cs="Arial"/>
          <w:sz w:val="24"/>
          <w:szCs w:val="24"/>
        </w:rPr>
        <w:t>.</w:t>
      </w:r>
      <w:proofErr w:type="spellEnd"/>
    </w:p>
    <w:p w14:paraId="145B012D" w14:textId="44C807E5" w:rsidR="00863114" w:rsidRPr="00AF4D1E" w:rsidRDefault="00863114" w:rsidP="00863114">
      <w:pPr>
        <w:pBdr>
          <w:bottom w:val="single" w:sz="4" w:space="1" w:color="auto"/>
        </w:pBdr>
        <w:rPr>
          <w:rFonts w:ascii="Cambria" w:hAnsi="Cambria" w:cs="Arial"/>
          <w:b/>
          <w:bCs/>
          <w:sz w:val="24"/>
          <w:szCs w:val="24"/>
        </w:rPr>
      </w:pPr>
      <w:r w:rsidRPr="00AF4D1E">
        <w:rPr>
          <w:rFonts w:ascii="Cambria" w:hAnsi="Cambria" w:cs="Arial"/>
          <w:b/>
          <w:bCs/>
          <w:sz w:val="24"/>
          <w:szCs w:val="24"/>
        </w:rPr>
        <w:t xml:space="preserve">The resulting accuracy metrics therefore isolate the contribution of model specification and parameter estimation, and the structural relationship between </w:t>
      </w:r>
      <w:r w:rsidRPr="009A1215">
        <w:rPr>
          <w:rFonts w:ascii="Cambria" w:hAnsi="Cambria" w:cs="Arial"/>
          <w:b/>
          <w:bCs/>
          <w:i/>
          <w:iCs/>
          <w:sz w:val="24"/>
          <w:szCs w:val="24"/>
        </w:rPr>
        <w:t>X</w:t>
      </w:r>
      <w:r w:rsidRPr="00AF4D1E">
        <w:rPr>
          <w:rFonts w:ascii="Cambria" w:hAnsi="Cambria" w:cs="Arial"/>
          <w:b/>
          <w:bCs/>
          <w:sz w:val="24"/>
          <w:szCs w:val="24"/>
        </w:rPr>
        <w:t xml:space="preserve"> and </w:t>
      </w:r>
      <w:r w:rsidRPr="009A1215">
        <w:rPr>
          <w:rFonts w:ascii="Cambria" w:hAnsi="Cambria" w:cs="Arial"/>
          <w:b/>
          <w:bCs/>
          <w:i/>
          <w:iCs/>
          <w:sz w:val="24"/>
          <w:szCs w:val="24"/>
        </w:rPr>
        <w:t>Y</w:t>
      </w:r>
      <w:r w:rsidRPr="00AF4D1E">
        <w:rPr>
          <w:rFonts w:ascii="Cambria" w:hAnsi="Cambria" w:cs="Arial"/>
          <w:b/>
          <w:bCs/>
          <w:sz w:val="24"/>
          <w:szCs w:val="24"/>
        </w:rPr>
        <w:t xml:space="preserve">, while </w:t>
      </w:r>
      <w:r w:rsidR="000F7842">
        <w:rPr>
          <w:rFonts w:ascii="Cambria" w:hAnsi="Cambria" w:cs="Arial"/>
          <w:b/>
          <w:bCs/>
          <w:sz w:val="24"/>
          <w:szCs w:val="24"/>
        </w:rPr>
        <w:t>avoiding</w:t>
      </w:r>
      <w:r w:rsidRPr="00AF4D1E">
        <w:rPr>
          <w:rFonts w:ascii="Cambria" w:hAnsi="Cambria" w:cs="Arial"/>
          <w:b/>
          <w:bCs/>
          <w:sz w:val="24"/>
          <w:szCs w:val="24"/>
        </w:rPr>
        <w:t xml:space="preserve"> errors arising from forecasting </w:t>
      </w:r>
      <w:proofErr w:type="spellStart"/>
      <w:r w:rsidR="003A26BD" w:rsidRPr="009A1215">
        <w:rPr>
          <w:rFonts w:ascii="Cambria" w:hAnsi="Cambria" w:cs="Arial"/>
          <w:b/>
          <w:bCs/>
          <w:i/>
          <w:iCs/>
          <w:sz w:val="24"/>
          <w:szCs w:val="24"/>
        </w:rPr>
        <w:t>X</w:t>
      </w:r>
      <w:r w:rsidR="003A26BD" w:rsidRPr="009A1215">
        <w:rPr>
          <w:rFonts w:ascii="Cambria" w:hAnsi="Cambria" w:cs="Arial"/>
          <w:b/>
          <w:bCs/>
          <w:i/>
          <w:iCs/>
          <w:sz w:val="24"/>
          <w:szCs w:val="24"/>
          <w:vertAlign w:val="subscript"/>
        </w:rPr>
        <w:t>t</w:t>
      </w:r>
      <w:proofErr w:type="spellEnd"/>
      <w:r w:rsidR="003A26BD" w:rsidRPr="00AF4D1E">
        <w:rPr>
          <w:rFonts w:ascii="Cambria" w:hAnsi="Cambria" w:cs="Arial"/>
          <w:b/>
          <w:bCs/>
          <w:sz w:val="24"/>
          <w:szCs w:val="24"/>
        </w:rPr>
        <w:t xml:space="preserve"> </w:t>
      </w:r>
      <w:r w:rsidRPr="00AF4D1E">
        <w:rPr>
          <w:rFonts w:ascii="Cambria" w:hAnsi="Cambria" w:cs="Arial"/>
          <w:b/>
          <w:bCs/>
          <w:sz w:val="24"/>
          <w:szCs w:val="24"/>
        </w:rPr>
        <w:t>themselves.</w:t>
      </w:r>
    </w:p>
    <w:p w14:paraId="092C480E" w14:textId="18FC6FC4" w:rsidR="00C67A95" w:rsidRDefault="00863114" w:rsidP="00B170DF">
      <w:pPr>
        <w:pBdr>
          <w:bottom w:val="single" w:sz="4" w:space="1" w:color="auto"/>
        </w:pBdr>
        <w:spacing w:after="0"/>
        <w:rPr>
          <w:rFonts w:ascii="Cambria" w:hAnsi="Cambria" w:cs="Arial"/>
          <w:sz w:val="24"/>
          <w:szCs w:val="24"/>
        </w:rPr>
      </w:pPr>
      <w:r w:rsidRPr="00863114">
        <w:rPr>
          <w:rFonts w:ascii="Cambria" w:hAnsi="Cambria" w:cs="Arial"/>
          <w:sz w:val="24"/>
          <w:szCs w:val="24"/>
        </w:rPr>
        <w:t>This distinction is standard in the forecasting literature, where conditional (ex-post) forecasts are used to assess the intrinsic predictive power of a model separately from upstream predictor forecasts (Hyndman &amp; Athanasopoulos, 2021).</w:t>
      </w:r>
      <w:r w:rsidR="00F363AC">
        <w:rPr>
          <w:rFonts w:ascii="Cambria" w:hAnsi="Cambria" w:cs="Arial"/>
          <w:sz w:val="24"/>
          <w:szCs w:val="24"/>
        </w:rPr>
        <w:br/>
      </w:r>
    </w:p>
    <w:p w14:paraId="60A47465" w14:textId="77777777" w:rsidR="003A26BD" w:rsidRPr="005A42CD" w:rsidRDefault="003A26BD" w:rsidP="003D0A23">
      <w:pPr>
        <w:pBdr>
          <w:bottom w:val="single" w:sz="4" w:space="1" w:color="auto"/>
        </w:pBdr>
        <w:spacing w:after="120"/>
        <w:rPr>
          <w:rFonts w:ascii="Arial" w:hAnsi="Arial" w:cs="Arial"/>
          <w:b/>
          <w:bCs/>
          <w:caps/>
          <w:sz w:val="24"/>
          <w:szCs w:val="24"/>
        </w:rPr>
      </w:pPr>
      <w:r w:rsidRPr="005A42CD">
        <w:rPr>
          <w:rFonts w:ascii="Arial" w:hAnsi="Arial" w:cs="Arial"/>
          <w:b/>
          <w:bCs/>
          <w:caps/>
          <w:sz w:val="24"/>
          <w:szCs w:val="24"/>
        </w:rPr>
        <w:t>Limitations</w:t>
      </w:r>
    </w:p>
    <w:p w14:paraId="757C1049" w14:textId="382DEA72" w:rsidR="003A26BD" w:rsidRDefault="003A26BD" w:rsidP="003A26BD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  <w:r w:rsidRPr="003A26BD">
        <w:rPr>
          <w:rFonts w:ascii="Cambria" w:hAnsi="Cambria" w:cs="Arial"/>
          <w:sz w:val="24"/>
          <w:szCs w:val="24"/>
        </w:rPr>
        <w:t xml:space="preserve">Because the evaluation assumes knowledge of future </w:t>
      </w:r>
      <w:proofErr w:type="spellStart"/>
      <w:r w:rsidR="003375B0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3375B0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3A26BD">
        <w:rPr>
          <w:rFonts w:ascii="Cambria" w:hAnsi="Cambria" w:cs="Arial"/>
          <w:sz w:val="24"/>
          <w:szCs w:val="24"/>
        </w:rPr>
        <w:t xml:space="preserve">, reported accuracy should not be interpreted as directly representative of real-time forecasting performance. In practical applications where </w:t>
      </w:r>
      <w:proofErr w:type="spellStart"/>
      <w:r w:rsidR="003375B0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3375B0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3A26BD">
        <w:rPr>
          <w:rFonts w:ascii="Cambria" w:hAnsi="Cambria" w:cs="Arial"/>
          <w:sz w:val="24"/>
          <w:szCs w:val="24"/>
        </w:rPr>
        <w:t xml:space="preserve"> must themselves be forecast, total forecast error will generally be larger.</w:t>
      </w:r>
    </w:p>
    <w:p w14:paraId="6A4C7530" w14:textId="5E0E6E41" w:rsidR="00AF4D1E" w:rsidRPr="00B170DF" w:rsidRDefault="003375B0" w:rsidP="00B170DF">
      <w:pPr>
        <w:pBdr>
          <w:bottom w:val="single" w:sz="4" w:space="1" w:color="auto"/>
        </w:pBdr>
        <w:spacing w:after="0"/>
        <w:rPr>
          <w:rFonts w:ascii="Cambria" w:hAnsi="Cambria" w:cs="Arial"/>
          <w:b/>
          <w:bCs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To complement this</w:t>
      </w:r>
      <w:r w:rsidR="00E94C8D">
        <w:rPr>
          <w:rFonts w:ascii="Cambria" w:hAnsi="Cambria" w:cs="Arial"/>
          <w:sz w:val="24"/>
          <w:szCs w:val="24"/>
        </w:rPr>
        <w:t>, an</w:t>
      </w:r>
      <w:r w:rsidR="003A26BD" w:rsidRPr="003A26BD">
        <w:rPr>
          <w:rFonts w:ascii="Cambria" w:hAnsi="Cambria" w:cs="Arial"/>
          <w:sz w:val="24"/>
          <w:szCs w:val="24"/>
        </w:rPr>
        <w:t xml:space="preserve"> </w:t>
      </w:r>
      <w:r w:rsidR="00E94C8D">
        <w:rPr>
          <w:rFonts w:ascii="Cambria" w:hAnsi="Cambria" w:cs="Arial"/>
          <w:sz w:val="24"/>
          <w:szCs w:val="24"/>
        </w:rPr>
        <w:t>o</w:t>
      </w:r>
      <w:r w:rsidR="003A26BD" w:rsidRPr="003A26BD">
        <w:rPr>
          <w:rFonts w:ascii="Cambria" w:hAnsi="Cambria" w:cs="Arial"/>
          <w:sz w:val="24"/>
          <w:szCs w:val="24"/>
        </w:rPr>
        <w:t xml:space="preserve">perational ex-ante </w:t>
      </w:r>
      <w:r w:rsidR="00E94C8D">
        <w:rPr>
          <w:rFonts w:ascii="Cambria" w:hAnsi="Cambria" w:cs="Arial"/>
          <w:sz w:val="24"/>
          <w:szCs w:val="24"/>
        </w:rPr>
        <w:t>analysis should be conducted</w:t>
      </w:r>
      <w:r w:rsidR="002E4B9D">
        <w:rPr>
          <w:rFonts w:ascii="Cambria" w:hAnsi="Cambria" w:cs="Arial"/>
          <w:sz w:val="24"/>
          <w:szCs w:val="24"/>
        </w:rPr>
        <w:t>,</w:t>
      </w:r>
      <w:r w:rsidR="00E94C8D">
        <w:rPr>
          <w:rFonts w:ascii="Cambria" w:hAnsi="Cambria" w:cs="Arial"/>
          <w:sz w:val="24"/>
          <w:szCs w:val="24"/>
        </w:rPr>
        <w:t xml:space="preserve"> if feasible</w:t>
      </w:r>
      <w:r w:rsidR="002E4B9D">
        <w:rPr>
          <w:rFonts w:ascii="Cambria" w:hAnsi="Cambria" w:cs="Arial"/>
          <w:sz w:val="24"/>
          <w:szCs w:val="24"/>
        </w:rPr>
        <w:t>,</w:t>
      </w:r>
      <w:r w:rsidR="003A26BD" w:rsidRPr="003A26BD">
        <w:rPr>
          <w:rFonts w:ascii="Cambria" w:hAnsi="Cambria" w:cs="Arial"/>
          <w:sz w:val="24"/>
          <w:szCs w:val="24"/>
        </w:rPr>
        <w:t xml:space="preserve"> using only information available at time T, including forecasted </w:t>
      </w:r>
      <w:r w:rsidR="004700D3">
        <w:rPr>
          <w:rFonts w:ascii="Cambria" w:hAnsi="Cambria" w:cs="Arial"/>
          <w:sz w:val="24"/>
          <w:szCs w:val="24"/>
        </w:rPr>
        <w:t xml:space="preserve">independent variables </w:t>
      </w:r>
      <w:proofErr w:type="spellStart"/>
      <w:r w:rsidR="004700D3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4700D3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B170DF">
        <w:rPr>
          <w:rFonts w:ascii="Cambria" w:hAnsi="Cambria" w:cs="Arial"/>
          <w:b/>
          <w:bCs/>
          <w:sz w:val="24"/>
          <w:szCs w:val="24"/>
          <w:vertAlign w:val="subscript"/>
        </w:rPr>
        <w:br/>
      </w:r>
    </w:p>
    <w:p w14:paraId="046BC6E6" w14:textId="77777777" w:rsidR="0057545E" w:rsidRPr="005A42CD" w:rsidRDefault="0057545E" w:rsidP="003D0A23">
      <w:pPr>
        <w:pBdr>
          <w:bottom w:val="single" w:sz="4" w:space="1" w:color="auto"/>
        </w:pBdr>
        <w:spacing w:after="120"/>
        <w:rPr>
          <w:rFonts w:ascii="Arial" w:hAnsi="Arial" w:cs="Arial"/>
          <w:b/>
          <w:bCs/>
          <w:caps/>
          <w:sz w:val="24"/>
          <w:szCs w:val="24"/>
        </w:rPr>
      </w:pPr>
      <w:r w:rsidRPr="005A42CD">
        <w:rPr>
          <w:rFonts w:ascii="Arial" w:hAnsi="Arial" w:cs="Arial"/>
          <w:b/>
          <w:bCs/>
          <w:caps/>
          <w:sz w:val="24"/>
          <w:szCs w:val="24"/>
        </w:rPr>
        <w:t>Summary</w:t>
      </w:r>
    </w:p>
    <w:p w14:paraId="14433315" w14:textId="00133556" w:rsidR="0057545E" w:rsidRPr="0057545E" w:rsidRDefault="0057545E" w:rsidP="0057545E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  <w:r w:rsidRPr="0057545E">
        <w:rPr>
          <w:rFonts w:ascii="Cambria" w:hAnsi="Cambria" w:cs="Arial"/>
          <w:sz w:val="24"/>
          <w:szCs w:val="24"/>
        </w:rPr>
        <w:t xml:space="preserve">The conditional holdout approach provides a diagnostic of whether the model </w:t>
      </w:r>
      <w:proofErr w:type="spellStart"/>
      <w:r w:rsidR="007D4149" w:rsidRPr="009A1215">
        <w:rPr>
          <w:rFonts w:ascii="Cambria" w:hAnsi="Cambria" w:cs="Arial"/>
          <w:i/>
          <w:iCs/>
          <w:sz w:val="24"/>
          <w:szCs w:val="24"/>
        </w:rPr>
        <w:t>Y</w:t>
      </w:r>
      <w:r w:rsidR="007D4149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="007D4149" w:rsidRPr="009A1215">
        <w:rPr>
          <w:rFonts w:ascii="Cambria" w:hAnsi="Cambria" w:cs="Arial"/>
          <w:i/>
          <w:iCs/>
          <w:sz w:val="24"/>
          <w:szCs w:val="24"/>
        </w:rPr>
        <w:t xml:space="preserve"> </w:t>
      </w:r>
      <w:r w:rsidR="00FF46C1" w:rsidRPr="009A1215">
        <w:rPr>
          <w:rFonts w:ascii="Cambria" w:hAnsi="Cambria" w:cs="Arial"/>
          <w:i/>
          <w:iCs/>
          <w:sz w:val="24"/>
          <w:szCs w:val="24"/>
        </w:rPr>
        <w:t xml:space="preserve">= </w:t>
      </w:r>
      <w:r w:rsidRPr="009A1215">
        <w:rPr>
          <w:rFonts w:ascii="Cambria" w:hAnsi="Cambria" w:cs="Arial"/>
          <w:i/>
          <w:iCs/>
          <w:sz w:val="24"/>
          <w:szCs w:val="24"/>
        </w:rPr>
        <w:t>f(</w:t>
      </w:r>
      <w:proofErr w:type="spellStart"/>
      <w:r w:rsidR="007D4149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7D4149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9A1215">
        <w:rPr>
          <w:rFonts w:ascii="Cambria" w:hAnsi="Cambria" w:cs="Arial"/>
          <w:i/>
          <w:iCs/>
          <w:sz w:val="24"/>
          <w:szCs w:val="24"/>
        </w:rPr>
        <w:t>)</w:t>
      </w:r>
      <w:r w:rsidRPr="0057545E">
        <w:rPr>
          <w:rFonts w:ascii="Cambria" w:hAnsi="Cambria" w:cs="Arial"/>
          <w:sz w:val="24"/>
          <w:szCs w:val="24"/>
        </w:rPr>
        <w:t xml:space="preserve"> is well-specified. When paired with ex-ante validation, it enables decomposition of forecast error into model error (structure/fit) and input error (forecast error in </w:t>
      </w:r>
      <w:proofErr w:type="spellStart"/>
      <w:r w:rsidR="009A1215" w:rsidRPr="009A1215">
        <w:rPr>
          <w:rFonts w:ascii="Cambria" w:hAnsi="Cambria" w:cs="Arial"/>
          <w:i/>
          <w:iCs/>
          <w:sz w:val="24"/>
          <w:szCs w:val="24"/>
        </w:rPr>
        <w:t>X</w:t>
      </w:r>
      <w:r w:rsidR="009A1215" w:rsidRPr="009A1215">
        <w:rPr>
          <w:rFonts w:ascii="Cambria" w:hAnsi="Cambria" w:cs="Arial"/>
          <w:i/>
          <w:iCs/>
          <w:sz w:val="24"/>
          <w:szCs w:val="24"/>
          <w:vertAlign w:val="subscript"/>
        </w:rPr>
        <w:t>t</w:t>
      </w:r>
      <w:proofErr w:type="spellEnd"/>
      <w:r w:rsidRPr="0057545E">
        <w:rPr>
          <w:rFonts w:ascii="Cambria" w:hAnsi="Cambria" w:cs="Arial"/>
          <w:sz w:val="24"/>
          <w:szCs w:val="24"/>
        </w:rPr>
        <w:t xml:space="preserve">). This dual evaluation framework is widely used in empirical forecasting applications, including settings where forecasts are conditioned on realized predictors (Ferraro, Rogoff, </w:t>
      </w:r>
      <w:r w:rsidR="007D4149">
        <w:rPr>
          <w:rFonts w:ascii="Cambria" w:hAnsi="Cambria" w:cs="Arial"/>
          <w:sz w:val="24"/>
          <w:szCs w:val="24"/>
        </w:rPr>
        <w:t>and</w:t>
      </w:r>
      <w:r w:rsidRPr="0057545E">
        <w:rPr>
          <w:rFonts w:ascii="Cambria" w:hAnsi="Cambria" w:cs="Arial"/>
          <w:sz w:val="24"/>
          <w:szCs w:val="24"/>
        </w:rPr>
        <w:t xml:space="preserve"> Rossi, 2015).</w:t>
      </w:r>
    </w:p>
    <w:p w14:paraId="5DFF6BA2" w14:textId="77777777" w:rsidR="0057545E" w:rsidRPr="002770C0" w:rsidRDefault="0057545E" w:rsidP="003A26BD">
      <w:pPr>
        <w:pBdr>
          <w:bottom w:val="single" w:sz="4" w:space="1" w:color="auto"/>
        </w:pBdr>
        <w:rPr>
          <w:rFonts w:ascii="Cambria" w:hAnsi="Cambria" w:cs="Arial"/>
          <w:sz w:val="24"/>
          <w:szCs w:val="24"/>
        </w:rPr>
      </w:pPr>
    </w:p>
    <w:p w14:paraId="6CD8805A" w14:textId="77777777" w:rsidR="001E6AF2" w:rsidRPr="00AE486F" w:rsidRDefault="001E6AF2" w:rsidP="00AE486F">
      <w:pPr>
        <w:spacing w:after="120"/>
        <w:rPr>
          <w:rFonts w:ascii="Aptos" w:hAnsi="Aptos" w:cs="Arial"/>
          <w:b/>
          <w:bCs/>
          <w:caps/>
        </w:rPr>
      </w:pPr>
      <w:r w:rsidRPr="00AE486F">
        <w:rPr>
          <w:rFonts w:ascii="Aptos" w:hAnsi="Aptos" w:cs="Arial"/>
          <w:b/>
          <w:bCs/>
          <w:caps/>
        </w:rPr>
        <w:t>References</w:t>
      </w:r>
    </w:p>
    <w:p w14:paraId="36155A38" w14:textId="2BDBEE69" w:rsidR="0002207F" w:rsidRPr="0002207F" w:rsidRDefault="0002207F" w:rsidP="00AE486F">
      <w:pPr>
        <w:spacing w:after="120"/>
        <w:rPr>
          <w:rFonts w:ascii="Aptos" w:hAnsi="Aptos" w:cs="Arial"/>
          <w:sz w:val="20"/>
          <w:szCs w:val="20"/>
        </w:rPr>
      </w:pPr>
      <w:r w:rsidRPr="0002207F">
        <w:rPr>
          <w:rFonts w:ascii="Aptos" w:hAnsi="Aptos" w:cs="Arial"/>
          <w:sz w:val="20"/>
          <w:szCs w:val="20"/>
        </w:rPr>
        <w:t>Tashman, L.J. (2000</w:t>
      </w:r>
      <w:r w:rsidRPr="00B55721">
        <w:rPr>
          <w:rFonts w:ascii="Aptos" w:hAnsi="Aptos" w:cs="Arial"/>
          <w:i/>
          <w:iCs/>
          <w:sz w:val="20"/>
          <w:szCs w:val="20"/>
        </w:rPr>
        <w:t>). Out-of-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S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ample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T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ests of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F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orecasting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A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ccuracy: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A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n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A</w:t>
      </w:r>
      <w:r w:rsidRPr="00B55721">
        <w:rPr>
          <w:rFonts w:ascii="Aptos" w:hAnsi="Aptos" w:cs="Arial"/>
          <w:i/>
          <w:iCs/>
          <w:sz w:val="20"/>
          <w:szCs w:val="20"/>
        </w:rPr>
        <w:t xml:space="preserve">nalysis and </w:t>
      </w:r>
      <w:r w:rsidR="00C87F92" w:rsidRPr="00B55721">
        <w:rPr>
          <w:rFonts w:ascii="Aptos" w:hAnsi="Aptos" w:cs="Arial"/>
          <w:i/>
          <w:iCs/>
          <w:sz w:val="20"/>
          <w:szCs w:val="20"/>
        </w:rPr>
        <w:t>R</w:t>
      </w:r>
      <w:r w:rsidRPr="00B55721">
        <w:rPr>
          <w:rFonts w:ascii="Aptos" w:hAnsi="Aptos" w:cs="Arial"/>
          <w:i/>
          <w:iCs/>
          <w:sz w:val="20"/>
          <w:szCs w:val="20"/>
        </w:rPr>
        <w:t>eview</w:t>
      </w:r>
      <w:r w:rsidRPr="0002207F">
        <w:rPr>
          <w:rFonts w:ascii="Aptos" w:hAnsi="Aptos" w:cs="Arial"/>
          <w:sz w:val="20"/>
          <w:szCs w:val="20"/>
        </w:rPr>
        <w:t>. International Journal of Forecasting.</w:t>
      </w:r>
    </w:p>
    <w:p w14:paraId="6C32EDC8" w14:textId="55CAE3D9" w:rsidR="0002207F" w:rsidRPr="0002207F" w:rsidRDefault="0002207F" w:rsidP="00AE486F">
      <w:pPr>
        <w:spacing w:after="120"/>
        <w:rPr>
          <w:rFonts w:ascii="Aptos" w:hAnsi="Aptos" w:cs="Arial"/>
          <w:sz w:val="20"/>
          <w:szCs w:val="20"/>
        </w:rPr>
      </w:pPr>
      <w:r w:rsidRPr="00255BB5">
        <w:rPr>
          <w:rFonts w:ascii="Aptos" w:hAnsi="Aptos" w:cs="Arial"/>
          <w:sz w:val="20"/>
          <w:szCs w:val="20"/>
        </w:rPr>
        <w:t xml:space="preserve">Ferraro, D., </w:t>
      </w:r>
      <w:r w:rsidR="00255BB5" w:rsidRPr="00255BB5">
        <w:rPr>
          <w:rFonts w:ascii="Aptos" w:hAnsi="Aptos" w:cs="Arial"/>
          <w:sz w:val="20"/>
          <w:szCs w:val="20"/>
        </w:rPr>
        <w:t xml:space="preserve">K. </w:t>
      </w:r>
      <w:r w:rsidRPr="00255BB5">
        <w:rPr>
          <w:rFonts w:ascii="Aptos" w:hAnsi="Aptos" w:cs="Arial"/>
          <w:sz w:val="20"/>
          <w:szCs w:val="20"/>
        </w:rPr>
        <w:t xml:space="preserve">Rogoff, </w:t>
      </w:r>
      <w:r w:rsidR="00255BB5" w:rsidRPr="00255BB5">
        <w:rPr>
          <w:rFonts w:ascii="Aptos" w:hAnsi="Aptos" w:cs="Arial"/>
          <w:sz w:val="20"/>
          <w:szCs w:val="20"/>
        </w:rPr>
        <w:t>and B.</w:t>
      </w:r>
      <w:r w:rsidRPr="00255BB5">
        <w:rPr>
          <w:rFonts w:ascii="Aptos" w:hAnsi="Aptos" w:cs="Arial"/>
          <w:sz w:val="20"/>
          <w:szCs w:val="20"/>
        </w:rPr>
        <w:t xml:space="preserve"> Rossi (2015). </w:t>
      </w:r>
      <w:r w:rsidRPr="00B55721">
        <w:rPr>
          <w:rFonts w:ascii="Aptos" w:hAnsi="Aptos" w:cs="Arial"/>
          <w:i/>
          <w:iCs/>
          <w:sz w:val="20"/>
          <w:szCs w:val="20"/>
        </w:rPr>
        <w:t>Can Oil Prices Forecast Exchange Rates?</w:t>
      </w:r>
      <w:r w:rsidRPr="0002207F">
        <w:rPr>
          <w:rFonts w:ascii="Aptos" w:hAnsi="Aptos" w:cs="Arial"/>
          <w:sz w:val="20"/>
          <w:szCs w:val="20"/>
        </w:rPr>
        <w:t xml:space="preserve"> NBER Working Paper.</w:t>
      </w:r>
    </w:p>
    <w:p w14:paraId="2818C97F" w14:textId="1A7871F0" w:rsidR="00527665" w:rsidRPr="00566ADE" w:rsidRDefault="0002207F" w:rsidP="00AE486F">
      <w:pPr>
        <w:spacing w:after="120"/>
        <w:rPr>
          <w:rFonts w:ascii="Aptos" w:hAnsi="Aptos" w:cs="Arial"/>
          <w:sz w:val="20"/>
          <w:szCs w:val="20"/>
        </w:rPr>
      </w:pPr>
      <w:r w:rsidRPr="0002207F">
        <w:rPr>
          <w:rFonts w:ascii="Aptos" w:hAnsi="Aptos" w:cs="Arial"/>
          <w:sz w:val="20"/>
          <w:szCs w:val="20"/>
        </w:rPr>
        <w:t xml:space="preserve">Hynman, R.J., &amp; </w:t>
      </w:r>
      <w:r w:rsidR="00255BB5">
        <w:rPr>
          <w:rFonts w:ascii="Aptos" w:hAnsi="Aptos" w:cs="Arial"/>
          <w:sz w:val="20"/>
          <w:szCs w:val="20"/>
        </w:rPr>
        <w:t xml:space="preserve">G. </w:t>
      </w:r>
      <w:r w:rsidRPr="0002207F">
        <w:rPr>
          <w:rFonts w:ascii="Aptos" w:hAnsi="Aptos" w:cs="Arial"/>
          <w:sz w:val="20"/>
          <w:szCs w:val="20"/>
        </w:rPr>
        <w:t>Athanasopoulos (2021). Forecasting: Principles and Practice (3rd ed.).</w:t>
      </w:r>
    </w:p>
    <w:sectPr w:rsidR="00527665" w:rsidRPr="00566ADE" w:rsidSect="005D14F3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9189" w14:textId="77777777" w:rsidR="004045EE" w:rsidRDefault="004045EE" w:rsidP="00654E76">
      <w:pPr>
        <w:spacing w:after="0" w:line="240" w:lineRule="auto"/>
      </w:pPr>
      <w:r>
        <w:separator/>
      </w:r>
    </w:p>
  </w:endnote>
  <w:endnote w:type="continuationSeparator" w:id="0">
    <w:p w14:paraId="41787500" w14:textId="77777777" w:rsidR="004045EE" w:rsidRDefault="004045EE" w:rsidP="00654E76">
      <w:pPr>
        <w:spacing w:after="0" w:line="240" w:lineRule="auto"/>
      </w:pPr>
      <w:r>
        <w:continuationSeparator/>
      </w:r>
    </w:p>
  </w:endnote>
  <w:endnote w:type="continuationNotice" w:id="1">
    <w:p w14:paraId="79F9C524" w14:textId="77777777" w:rsidR="004045EE" w:rsidRDefault="004045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EAADE73-F5AD-4A87-A48C-E606F4D43656}"/>
    <w:embedBold r:id="rId2" w:fontKey="{DAA9E4F0-F516-430C-B423-CCF993121C64}"/>
    <w:embedItalic r:id="rId3" w:fontKey="{549CF667-D8D1-4171-98BC-74FE49D63214}"/>
    <w:embedBoldItalic r:id="rId4" w:fontKey="{0D783B3C-881D-4AD9-A0E7-C99ACD502B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subsetted="1" w:fontKey="{D14334C3-301A-4E8A-A91E-326D4EA28D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6" w:subsetted="1" w:fontKey="{BC2A0198-F9C6-468F-B091-93B8765840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7" w:subsetted="1" w:fontKey="{9D4F85F2-EFD7-4AD0-ABE0-4996EBDBDA80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8" w:subsetted="1" w:fontKey="{4260D00A-64F2-4C85-8875-8A380D0D396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9FEF8C1B-543D-4234-B972-E1E7034F1745}"/>
    <w:embedBold r:id="rId10" w:fontKey="{8477C09C-8D49-43CC-B296-DF7680781B2A}"/>
    <w:embedItalic r:id="rId11" w:fontKey="{E841BFEF-9B46-4AC9-BFB7-0FA589D045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6A1F" w14:textId="4E7CE342" w:rsidR="00654E76" w:rsidRPr="00566ADE" w:rsidRDefault="00654E76" w:rsidP="00654E76">
    <w:pPr>
      <w:pStyle w:val="Footer"/>
      <w:jc w:val="center"/>
      <w:rPr>
        <w:rFonts w:ascii="Aptos" w:hAnsi="Aptos" w:cs="Arial"/>
        <w:color w:val="000000" w:themeColor="text1"/>
        <w:sz w:val="20"/>
        <w:szCs w:val="20"/>
      </w:rPr>
    </w:pPr>
    <w:r w:rsidRPr="00566ADE">
      <w:rPr>
        <w:rFonts w:ascii="Aptos" w:hAnsi="Aptos" w:cs="Arial"/>
        <w:b/>
        <w:bCs/>
        <w:color w:val="000000" w:themeColor="text1"/>
        <w:sz w:val="20"/>
        <w:szCs w:val="20"/>
      </w:rPr>
      <w:t>Tellusant, Inc.</w:t>
    </w:r>
    <w:r w:rsidRPr="00566ADE">
      <w:rPr>
        <w:rFonts w:ascii="Aptos" w:hAnsi="Aptos" w:cs="Arial"/>
        <w:color w:val="000000" w:themeColor="text1"/>
        <w:sz w:val="20"/>
        <w:szCs w:val="20"/>
      </w:rPr>
      <w:t xml:space="preserve">   |   240 Elm Street</w:t>
    </w:r>
    <w:r w:rsidR="008A1291" w:rsidRPr="00566ADE">
      <w:rPr>
        <w:rFonts w:ascii="Aptos" w:hAnsi="Aptos" w:cs="Arial"/>
        <w:color w:val="000000" w:themeColor="text1"/>
        <w:sz w:val="20"/>
        <w:szCs w:val="20"/>
      </w:rPr>
      <w:t xml:space="preserve">  </w:t>
    </w:r>
    <w:r w:rsidRPr="00566ADE">
      <w:rPr>
        <w:rFonts w:ascii="Aptos" w:hAnsi="Aptos" w:cs="Arial"/>
        <w:color w:val="000000" w:themeColor="text1"/>
        <w:sz w:val="20"/>
        <w:szCs w:val="20"/>
      </w:rPr>
      <w:t xml:space="preserve"> | </w:t>
    </w:r>
    <w:r w:rsidR="008A1291" w:rsidRPr="00566ADE">
      <w:rPr>
        <w:rFonts w:ascii="Aptos" w:hAnsi="Aptos" w:cs="Arial"/>
        <w:color w:val="000000" w:themeColor="text1"/>
        <w:sz w:val="20"/>
        <w:szCs w:val="20"/>
      </w:rPr>
      <w:t xml:space="preserve">  </w:t>
    </w:r>
    <w:r w:rsidRPr="00566ADE">
      <w:rPr>
        <w:rFonts w:ascii="Aptos" w:hAnsi="Aptos" w:cs="Arial"/>
        <w:color w:val="000000" w:themeColor="text1"/>
        <w:sz w:val="20"/>
        <w:szCs w:val="20"/>
      </w:rPr>
      <w:t>Somerville, MA 02144   |   USA</w:t>
    </w:r>
    <w:r w:rsidRPr="00566ADE">
      <w:rPr>
        <w:rFonts w:ascii="Aptos" w:hAnsi="Aptos" w:cs="Arial"/>
        <w:color w:val="000000" w:themeColor="text1"/>
        <w:sz w:val="20"/>
        <w:szCs w:val="20"/>
      </w:rPr>
      <w:br/>
    </w:r>
    <w:hyperlink r:id="rId1" w:history="1">
      <w:r w:rsidRPr="00566ADE">
        <w:rPr>
          <w:rStyle w:val="Hyperlink"/>
          <w:rFonts w:ascii="Aptos" w:hAnsi="Aptos" w:cs="Arial"/>
          <w:color w:val="000000" w:themeColor="text1"/>
          <w:sz w:val="20"/>
          <w:szCs w:val="20"/>
        </w:rPr>
        <w:t>https://tellusant.com</w:t>
      </w:r>
    </w:hyperlink>
    <w:r w:rsidRPr="00566ADE">
      <w:rPr>
        <w:rFonts w:ascii="Aptos" w:hAnsi="Aptos" w:cs="Arial"/>
        <w:color w:val="000000" w:themeColor="text1"/>
        <w:sz w:val="20"/>
        <w:szCs w:val="20"/>
      </w:rPr>
      <w:t xml:space="preserve">   |   </w:t>
    </w:r>
    <w:hyperlink r:id="rId2" w:history="1">
      <w:r w:rsidRPr="00566ADE">
        <w:rPr>
          <w:rStyle w:val="Hyperlink"/>
          <w:rFonts w:ascii="Aptos" w:hAnsi="Aptos" w:cs="Arial"/>
          <w:color w:val="000000" w:themeColor="text1"/>
          <w:sz w:val="20"/>
          <w:szCs w:val="20"/>
        </w:rPr>
        <w:t>info@tellusant.com</w:t>
      </w:r>
    </w:hyperlink>
    <w:r w:rsidRPr="00566ADE">
      <w:rPr>
        <w:rFonts w:ascii="Aptos" w:hAnsi="Aptos" w:cs="Arial"/>
        <w:color w:val="000000" w:themeColor="text1"/>
        <w:sz w:val="20"/>
        <w:szCs w:val="20"/>
      </w:rPr>
      <w:t xml:space="preserve">   |   +1-617-394-1800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444B" w14:textId="77777777" w:rsidR="004045EE" w:rsidRDefault="004045EE" w:rsidP="00654E76">
      <w:pPr>
        <w:spacing w:after="0" w:line="240" w:lineRule="auto"/>
      </w:pPr>
      <w:r>
        <w:separator/>
      </w:r>
    </w:p>
  </w:footnote>
  <w:footnote w:type="continuationSeparator" w:id="0">
    <w:p w14:paraId="45B14640" w14:textId="77777777" w:rsidR="004045EE" w:rsidRDefault="004045EE" w:rsidP="00654E76">
      <w:pPr>
        <w:spacing w:after="0" w:line="240" w:lineRule="auto"/>
      </w:pPr>
      <w:r>
        <w:continuationSeparator/>
      </w:r>
    </w:p>
  </w:footnote>
  <w:footnote w:type="continuationNotice" w:id="1">
    <w:p w14:paraId="1CA706D4" w14:textId="77777777" w:rsidR="004045EE" w:rsidRDefault="004045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59B"/>
    <w:multiLevelType w:val="hybridMultilevel"/>
    <w:tmpl w:val="4336FDE2"/>
    <w:lvl w:ilvl="0" w:tplc="C4687282">
      <w:numFmt w:val="bullet"/>
      <w:lvlText w:val="—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E3E"/>
    <w:multiLevelType w:val="hybridMultilevel"/>
    <w:tmpl w:val="33BC08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907EB"/>
    <w:multiLevelType w:val="hybridMultilevel"/>
    <w:tmpl w:val="DC10F5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91BA4"/>
    <w:multiLevelType w:val="hybridMultilevel"/>
    <w:tmpl w:val="35A6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65AC0"/>
    <w:multiLevelType w:val="hybridMultilevel"/>
    <w:tmpl w:val="87E83C98"/>
    <w:lvl w:ilvl="0" w:tplc="83409F08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A032D"/>
    <w:multiLevelType w:val="hybridMultilevel"/>
    <w:tmpl w:val="EFE0EE0E"/>
    <w:lvl w:ilvl="0" w:tplc="41968C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406098">
    <w:abstractNumId w:val="2"/>
  </w:num>
  <w:num w:numId="2" w16cid:durableId="1835603829">
    <w:abstractNumId w:val="1"/>
  </w:num>
  <w:num w:numId="3" w16cid:durableId="1247616654">
    <w:abstractNumId w:val="0"/>
  </w:num>
  <w:num w:numId="4" w16cid:durableId="1856577705">
    <w:abstractNumId w:val="5"/>
  </w:num>
  <w:num w:numId="5" w16cid:durableId="1213883909">
    <w:abstractNumId w:val="3"/>
  </w:num>
  <w:num w:numId="6" w16cid:durableId="1181355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C8"/>
    <w:rsid w:val="0002207F"/>
    <w:rsid w:val="00025F88"/>
    <w:rsid w:val="0003131B"/>
    <w:rsid w:val="000403E4"/>
    <w:rsid w:val="00060F7F"/>
    <w:rsid w:val="000779AA"/>
    <w:rsid w:val="000935B9"/>
    <w:rsid w:val="000D2D83"/>
    <w:rsid w:val="000E0E2F"/>
    <w:rsid w:val="000F7842"/>
    <w:rsid w:val="00117A06"/>
    <w:rsid w:val="00125FEE"/>
    <w:rsid w:val="0013215F"/>
    <w:rsid w:val="001617DF"/>
    <w:rsid w:val="001742E0"/>
    <w:rsid w:val="001843CD"/>
    <w:rsid w:val="001A0B94"/>
    <w:rsid w:val="001A3324"/>
    <w:rsid w:val="001B32CF"/>
    <w:rsid w:val="001E6AF2"/>
    <w:rsid w:val="00251272"/>
    <w:rsid w:val="00255BB5"/>
    <w:rsid w:val="002770C0"/>
    <w:rsid w:val="00284129"/>
    <w:rsid w:val="00290A61"/>
    <w:rsid w:val="002962AF"/>
    <w:rsid w:val="002A34A3"/>
    <w:rsid w:val="002A4294"/>
    <w:rsid w:val="002B3E05"/>
    <w:rsid w:val="002E33C8"/>
    <w:rsid w:val="002E4B9D"/>
    <w:rsid w:val="0031595C"/>
    <w:rsid w:val="00327933"/>
    <w:rsid w:val="003375B0"/>
    <w:rsid w:val="00352EE0"/>
    <w:rsid w:val="00363DA7"/>
    <w:rsid w:val="003A26BD"/>
    <w:rsid w:val="003B4D10"/>
    <w:rsid w:val="003D0A23"/>
    <w:rsid w:val="003D4670"/>
    <w:rsid w:val="003E016C"/>
    <w:rsid w:val="003F13CF"/>
    <w:rsid w:val="004045EE"/>
    <w:rsid w:val="004064BE"/>
    <w:rsid w:val="00407D01"/>
    <w:rsid w:val="0041280C"/>
    <w:rsid w:val="00420B5D"/>
    <w:rsid w:val="004700D3"/>
    <w:rsid w:val="00471CD8"/>
    <w:rsid w:val="004B13AA"/>
    <w:rsid w:val="004E492A"/>
    <w:rsid w:val="00502C34"/>
    <w:rsid w:val="00527665"/>
    <w:rsid w:val="005459AA"/>
    <w:rsid w:val="00557CEF"/>
    <w:rsid w:val="00566857"/>
    <w:rsid w:val="00566ADE"/>
    <w:rsid w:val="005736AE"/>
    <w:rsid w:val="0057545E"/>
    <w:rsid w:val="00577DFD"/>
    <w:rsid w:val="005A42CD"/>
    <w:rsid w:val="005C158E"/>
    <w:rsid w:val="005D14F3"/>
    <w:rsid w:val="005E08EB"/>
    <w:rsid w:val="00622B12"/>
    <w:rsid w:val="00654E76"/>
    <w:rsid w:val="00661F42"/>
    <w:rsid w:val="0068120B"/>
    <w:rsid w:val="006C1745"/>
    <w:rsid w:val="006E325F"/>
    <w:rsid w:val="0074198D"/>
    <w:rsid w:val="0075009C"/>
    <w:rsid w:val="00753BD7"/>
    <w:rsid w:val="0075477C"/>
    <w:rsid w:val="00772B8B"/>
    <w:rsid w:val="00776724"/>
    <w:rsid w:val="007920E6"/>
    <w:rsid w:val="00794318"/>
    <w:rsid w:val="007A052E"/>
    <w:rsid w:val="007B38A6"/>
    <w:rsid w:val="007D25B8"/>
    <w:rsid w:val="007D4149"/>
    <w:rsid w:val="007E263B"/>
    <w:rsid w:val="007E4D6A"/>
    <w:rsid w:val="008149AB"/>
    <w:rsid w:val="00815F2A"/>
    <w:rsid w:val="0082051D"/>
    <w:rsid w:val="008317E6"/>
    <w:rsid w:val="0086010B"/>
    <w:rsid w:val="0086297F"/>
    <w:rsid w:val="00863114"/>
    <w:rsid w:val="00876624"/>
    <w:rsid w:val="00880EE7"/>
    <w:rsid w:val="00892162"/>
    <w:rsid w:val="008A1291"/>
    <w:rsid w:val="008B6DD7"/>
    <w:rsid w:val="008C1F8F"/>
    <w:rsid w:val="008C7B24"/>
    <w:rsid w:val="008D1178"/>
    <w:rsid w:val="008D6488"/>
    <w:rsid w:val="008F0905"/>
    <w:rsid w:val="0094114F"/>
    <w:rsid w:val="00960EF6"/>
    <w:rsid w:val="009751C4"/>
    <w:rsid w:val="00985232"/>
    <w:rsid w:val="00991A6A"/>
    <w:rsid w:val="009A0582"/>
    <w:rsid w:val="009A1215"/>
    <w:rsid w:val="009E13C8"/>
    <w:rsid w:val="00A06210"/>
    <w:rsid w:val="00A43EE7"/>
    <w:rsid w:val="00A47109"/>
    <w:rsid w:val="00A531A1"/>
    <w:rsid w:val="00A62440"/>
    <w:rsid w:val="00A748E4"/>
    <w:rsid w:val="00A82A57"/>
    <w:rsid w:val="00A85D66"/>
    <w:rsid w:val="00AB280D"/>
    <w:rsid w:val="00AD7D20"/>
    <w:rsid w:val="00AD7FF3"/>
    <w:rsid w:val="00AE486F"/>
    <w:rsid w:val="00AF4D1E"/>
    <w:rsid w:val="00B030F1"/>
    <w:rsid w:val="00B170DF"/>
    <w:rsid w:val="00B26047"/>
    <w:rsid w:val="00B3210A"/>
    <w:rsid w:val="00B55721"/>
    <w:rsid w:val="00B6577A"/>
    <w:rsid w:val="00BA3957"/>
    <w:rsid w:val="00BB2E9B"/>
    <w:rsid w:val="00BB4551"/>
    <w:rsid w:val="00BD4523"/>
    <w:rsid w:val="00BD6BBB"/>
    <w:rsid w:val="00C0548D"/>
    <w:rsid w:val="00C07EF1"/>
    <w:rsid w:val="00C51A68"/>
    <w:rsid w:val="00C56281"/>
    <w:rsid w:val="00C66967"/>
    <w:rsid w:val="00C67A95"/>
    <w:rsid w:val="00C75ABA"/>
    <w:rsid w:val="00C87F92"/>
    <w:rsid w:val="00C91256"/>
    <w:rsid w:val="00CA2A8C"/>
    <w:rsid w:val="00CA4B57"/>
    <w:rsid w:val="00CD13FF"/>
    <w:rsid w:val="00CE1957"/>
    <w:rsid w:val="00D05708"/>
    <w:rsid w:val="00D202EC"/>
    <w:rsid w:val="00D3724F"/>
    <w:rsid w:val="00D56144"/>
    <w:rsid w:val="00D70309"/>
    <w:rsid w:val="00D8157C"/>
    <w:rsid w:val="00D8792A"/>
    <w:rsid w:val="00D95F82"/>
    <w:rsid w:val="00E02890"/>
    <w:rsid w:val="00E166C0"/>
    <w:rsid w:val="00E20EFE"/>
    <w:rsid w:val="00E504E0"/>
    <w:rsid w:val="00E5558D"/>
    <w:rsid w:val="00E56423"/>
    <w:rsid w:val="00E61D2C"/>
    <w:rsid w:val="00E85B32"/>
    <w:rsid w:val="00E86EC8"/>
    <w:rsid w:val="00E94C8D"/>
    <w:rsid w:val="00EA08C5"/>
    <w:rsid w:val="00EC1E2E"/>
    <w:rsid w:val="00ED5FD0"/>
    <w:rsid w:val="00EE702C"/>
    <w:rsid w:val="00F0642E"/>
    <w:rsid w:val="00F11060"/>
    <w:rsid w:val="00F22977"/>
    <w:rsid w:val="00F363AC"/>
    <w:rsid w:val="00F53D96"/>
    <w:rsid w:val="00F75E3D"/>
    <w:rsid w:val="00F91CE4"/>
    <w:rsid w:val="00F948C6"/>
    <w:rsid w:val="00F94EF6"/>
    <w:rsid w:val="00FB12C5"/>
    <w:rsid w:val="00FD68ED"/>
    <w:rsid w:val="00FF46C1"/>
    <w:rsid w:val="00FF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9E28"/>
  <w15:chartTrackingRefBased/>
  <w15:docId w15:val="{1A8B9E84-2569-4AF6-AB14-2E0F504A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31B"/>
    <w:pPr>
      <w:ind w:left="720"/>
      <w:contextualSpacing/>
    </w:pPr>
  </w:style>
  <w:style w:type="character" w:customStyle="1" w:styleId="comments-comment-itemmain-content">
    <w:name w:val="comments-comment-item__main-content"/>
    <w:basedOn w:val="DefaultParagraphFont"/>
    <w:rsid w:val="00A62440"/>
  </w:style>
  <w:style w:type="character" w:customStyle="1" w:styleId="white-space-pre">
    <w:name w:val="white-space-pre"/>
    <w:basedOn w:val="DefaultParagraphFont"/>
    <w:rsid w:val="00A62440"/>
  </w:style>
  <w:style w:type="character" w:styleId="Hyperlink">
    <w:name w:val="Hyperlink"/>
    <w:basedOn w:val="DefaultParagraphFont"/>
    <w:uiPriority w:val="99"/>
    <w:unhideWhenUsed/>
    <w:rsid w:val="00A6244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E76"/>
  </w:style>
  <w:style w:type="paragraph" w:styleId="Footer">
    <w:name w:val="footer"/>
    <w:basedOn w:val="Normal"/>
    <w:link w:val="FooterChar"/>
    <w:uiPriority w:val="99"/>
    <w:unhideWhenUsed/>
    <w:rsid w:val="00654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E76"/>
  </w:style>
  <w:style w:type="character" w:styleId="UnresolvedMention">
    <w:name w:val="Unresolved Mention"/>
    <w:basedOn w:val="DefaultParagraphFont"/>
    <w:uiPriority w:val="99"/>
    <w:semiHidden/>
    <w:unhideWhenUsed/>
    <w:rsid w:val="00CA4B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B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tellusant.com" TargetMode="External"/><Relationship Id="rId1" Type="http://schemas.openxmlformats.org/officeDocument/2006/relationships/hyperlink" Target="https://tellusa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59ac6-18d0-48f3-a763-e72966c8a3ba">
      <Terms xmlns="http://schemas.microsoft.com/office/infopath/2007/PartnerControls"/>
    </lcf76f155ced4ddcb4097134ff3c332f>
    <TaxCatchAll xmlns="701431c6-1cf7-48b8-9c80-09dd31d4c62d" xsi:nil="true"/>
    <Description xmlns="9c759ac6-18d0-48f3-a763-e72966c8a3b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226B0650BBD04E91CFF692C493E7ED" ma:contentTypeVersion="14" ma:contentTypeDescription="Create a new document." ma:contentTypeScope="" ma:versionID="4809cc346b6cb46bafc1c840ce35293f">
  <xsd:schema xmlns:xsd="http://www.w3.org/2001/XMLSchema" xmlns:xs="http://www.w3.org/2001/XMLSchema" xmlns:p="http://schemas.microsoft.com/office/2006/metadata/properties" xmlns:ns2="9c759ac6-18d0-48f3-a763-e72966c8a3ba" xmlns:ns3="701431c6-1cf7-48b8-9c80-09dd31d4c62d" targetNamespace="http://schemas.microsoft.com/office/2006/metadata/properties" ma:root="true" ma:fieldsID="db561a1bf099eb535f8c8cd81bcda892" ns2:_="" ns3:_="">
    <xsd:import namespace="9c759ac6-18d0-48f3-a763-e72966c8a3ba"/>
    <xsd:import namespace="701431c6-1cf7-48b8-9c80-09dd31d4c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59ac6-18d0-48f3-a763-e72966c8a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b16c52-3ea9-45a3-a200-7430bfa63d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Description" ma:index="21" nillable="true" ma:displayName="Description" ma:format="Dropdown" ma:internalName="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431c6-1cf7-48b8-9c80-09dd31d4c6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b5529ad-da36-48dd-ab39-8f10f6efe7cf}" ma:internalName="TaxCatchAll" ma:showField="CatchAllData" ma:web="701431c6-1cf7-48b8-9c80-09dd31d4c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4A481D-10E5-4D60-A33C-89AF4B54AC54}">
  <ds:schemaRefs>
    <ds:schemaRef ds:uri="http://schemas.microsoft.com/office/2006/metadata/properties"/>
    <ds:schemaRef ds:uri="http://schemas.microsoft.com/office/infopath/2007/PartnerControls"/>
    <ds:schemaRef ds:uri="9c759ac6-18d0-48f3-a763-e72966c8a3ba"/>
    <ds:schemaRef ds:uri="701431c6-1cf7-48b8-9c80-09dd31d4c62d"/>
  </ds:schemaRefs>
</ds:datastoreItem>
</file>

<file path=customXml/itemProps2.xml><?xml version="1.0" encoding="utf-8"?>
<ds:datastoreItem xmlns:ds="http://schemas.openxmlformats.org/officeDocument/2006/customXml" ds:itemID="{613FF671-C601-4845-8B41-706E97E15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59ac6-18d0-48f3-a763-e72966c8a3ba"/>
    <ds:schemaRef ds:uri="701431c6-1cf7-48b8-9c80-09dd31d4c6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0704C3-5E2E-4343-80E0-62319E532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429</Words>
  <Characters>2546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Tellusaant's Water Intake Calculator</vt:lpstr>
    </vt:vector>
  </TitlesOfParts>
  <Company>Tellusant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Tellusaant's Water Intake Calculator</dc:title>
  <dc:subject>Quick Reads</dc:subject>
  <dc:creator>Staffan Canback;Tellusant, Inc.</dc:creator>
  <cp:keywords/>
  <dc:description/>
  <cp:lastModifiedBy>Staffan Canback</cp:lastModifiedBy>
  <cp:revision>50</cp:revision>
  <cp:lastPrinted>2026-03-23T21:31:00Z</cp:lastPrinted>
  <dcterms:created xsi:type="dcterms:W3CDTF">2026-03-23T18:50:00Z</dcterms:created>
  <dcterms:modified xsi:type="dcterms:W3CDTF">2026-03-23T21:53:00Z</dcterms:modified>
  <cp:category>Business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0x0101009C226B0650BBD04E91CFF692C493E7ED</vt:lpwstr>
  </property>
</Properties>
</file>