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TELOS: Mathematical Enforcement of AI Constitutional Boundaries</w:t>
      </w:r>
    </w:p>
    <w:p>
      <w:pPr>
        <w:pStyle w:val="Author"/>
      </w:pPr>
      <w:r>
        <w:t xml:space="preserve">Jeffrey Brunner</w:t>
      </w:r>
      <w:r>
        <w:br/>
      </w:r>
      <w:r>
        <w:t xml:space="preserve">TELOS AI Labs Inc.</w:t>
      </w:r>
    </w:p>
    <w:p>
      <w:pPr>
        <w:pStyle w:val="Date"/>
      </w:pPr>
      <w:r>
        <w:t xml:space="preserve">January 2026</w:t>
      </w:r>
    </w:p>
    <w:p>
      <w:pPr>
        <w:pStyle w:val="AbstractTitle"/>
      </w:pPr>
      <w:r>
        <w:t xml:space="preserve">Abstract</w:t>
      </w:r>
    </w:p>
    <w:p>
      <w:pPr>
        <w:pStyle w:val="Abstract"/>
      </w:pPr>
      <w:r>
        <w:t xml:space="preserve">We present TELOS, a runtime AI governance system that achieves a 0% Attack Success Rate across 2,550 adversarial attacks (95% CI: [0%, 0.14%]). Current systems accept violation rates of 3.7% to 43.9% as unavoidable. TELOS uses fixed reference points in embedding space (Primacy Attractors) with a three-tier defense system: mathematical enforcement, policy retrieval, and human escalation. Validation includes AILuminate (1,200), HarmBench (400), MedSafetyBench (900), and SB 243 (50). XSTest shows that domain-specific configuration reduces over-refusal from 24.8% to 8.0%. Code and data:</w:t>
      </w:r>
      <w:r>
        <w:t xml:space="preserve"> </w:t>
      </w:r>
      <w:hyperlink r:id="rId9">
        <w:r>
          <w:rPr>
            <w:rStyle w:val="Hyperlink"/>
          </w:rPr>
          <w:t xml:space="preserve">github.com/TelosSteward/TELOS</w:t>
        </w:r>
      </w:hyperlink>
    </w:p>
    <w:bookmarkStart w:id="10" w:name="introduction"/>
    <w:p>
      <w:pPr>
        <w:pStyle w:val="Heading1"/>
      </w:pPr>
      <w:r>
        <w:t xml:space="preserve">Introduction</w:t>
      </w:r>
    </w:p>
    <w:p>
      <w:pPr>
        <w:pStyle w:val="FirstParagraph"/>
      </w:pPr>
      <w:r>
        <w:t xml:space="preserve">LLMs in regulated sectors lack reliable methods for enforcing regulatory limits. The EU AI Act requires runtime monitoring for high-risk AI (timeline under revision via Digital Omnibus, requirements unchanged). California SB 243 focuses on AI chatbot safety for minors, effective January 1, 2026. Current governance methods cannot meet these regulations.</w:t>
      </w:r>
    </w:p>
    <w:p>
      <w:pPr>
        <w:pStyle w:val="BodyText"/>
      </w:pPr>
      <w:r>
        <w:t xml:space="preserve">HarmBench reported attack success rates of 4.4–90% across 400 standardized attacks. Leading guardrails accept violation rates of 3.7–43.9% as unavoidable. This is incompatible with regulatory requirements.</w:t>
      </w:r>
    </w:p>
    <w:p>
      <w:pPr>
        <w:pStyle w:val="BodyText"/>
      </w:pPr>
      <w:r>
        <w:rPr>
          <w:b/>
          <w:bCs/>
        </w:rPr>
        <w:t xml:space="preserve">The main issue:</w:t>
      </w:r>
      <w:r>
        <w:t xml:space="preserve"> </w:t>
      </w:r>
      <w:r>
        <w:t xml:space="preserve">Current methods treat governance as a</w:t>
      </w:r>
      <w:r>
        <w:t xml:space="preserve"> </w:t>
      </w:r>
      <w:r>
        <w:rPr>
          <w:i/>
          <w:iCs/>
        </w:rPr>
        <w:t xml:space="preserve">language</w:t>
      </w:r>
      <w:r>
        <w:t xml:space="preserve"> </w:t>
      </w:r>
      <w:r>
        <w:t xml:space="preserve">problem rather than a</w:t>
      </w:r>
      <w:r>
        <w:t xml:space="preserve"> </w:t>
      </w:r>
      <w:r>
        <w:rPr>
          <w:i/>
          <w:iCs/>
        </w:rPr>
        <w:t xml:space="preserve">geometric</w:t>
      </w:r>
      <w:r>
        <w:t xml:space="preserve"> </w:t>
      </w:r>
      <w:r>
        <w:t xml:space="preserve">one. TELOS overcomes this through:</w:t>
      </w:r>
    </w:p>
    <w:p>
      <w:pPr>
        <w:numPr>
          <w:ilvl w:val="0"/>
          <w:numId w:val="1001"/>
        </w:numPr>
      </w:pPr>
      <w:r>
        <w:rPr>
          <w:b/>
          <w:bCs/>
        </w:rPr>
        <w:t xml:space="preserve">Fixed Reference Points:</w:t>
      </w:r>
      <w:r>
        <w:t xml:space="preserve"> </w:t>
      </w:r>
      <w:r>
        <w:t xml:space="preserve">Primacy Attractors in embedding space</w:t>
      </w:r>
    </w:p>
    <w:p>
      <w:pPr>
        <w:numPr>
          <w:ilvl w:val="0"/>
          <w:numId w:val="1001"/>
        </w:numPr>
      </w:pPr>
      <w:r>
        <w:rPr>
          <w:b/>
          <w:bCs/>
        </w:rPr>
        <w:t xml:space="preserve">Mathematical Enforcement:</w:t>
      </w:r>
      <w:r>
        <w:t xml:space="preserve"> </w:t>
      </w:r>
      <w:r>
        <w:t xml:space="preserve">Cosine similarity as a position-invariant alignment measure</w:t>
      </w:r>
    </w:p>
    <w:p>
      <w:pPr>
        <w:numPr>
          <w:ilvl w:val="0"/>
          <w:numId w:val="1001"/>
        </w:numPr>
      </w:pPr>
      <w:r>
        <w:rPr>
          <w:b/>
          <w:bCs/>
        </w:rPr>
        <w:t xml:space="preserve">Three-Tier Defense:</w:t>
      </w:r>
      <w:r>
        <w:t xml:space="preserve"> </w:t>
      </w:r>
      <w:r>
        <w:t xml:space="preserve">All three layers—mathematical, authoritative, and human—must fail for a violation to occur</w:t>
      </w:r>
    </w:p>
    <w:p>
      <w:pPr>
        <w:pStyle w:val="FirstParagraph"/>
      </w:pPr>
      <w:r>
        <w:rPr>
          <w:b/>
          <w:bCs/>
        </w:rPr>
        <w:t xml:space="preserve">Threat Model:</w:t>
      </w:r>
      <w:r>
        <w:t xml:space="preserve"> </w:t>
      </w:r>
      <w:r>
        <w:t xml:space="preserve">The adversary queries a black-box system. The attacker knows that TELOS exists but not the PA configuration or thresholds. This aligns with the assumptions of HarmBench and MedSafetyBench.</w:t>
      </w:r>
    </w:p>
    <w:bookmarkEnd w:id="10"/>
    <w:bookmarkStart w:id="11" w:name="the-reference-point-problem"/>
    <w:p>
      <w:pPr>
        <w:pStyle w:val="Heading1"/>
      </w:pPr>
      <w:r>
        <w:t xml:space="preserve">The Reference Point Problem</w:t>
      </w:r>
    </w:p>
    <w:p>
      <w:pPr>
        <w:pStyle w:val="FirstParagraph"/>
      </w:pPr>
      <w:r>
        <w:t xml:space="preserve">Transformers use attention, generating both</w:t>
      </w:r>
      <w:r>
        <w:t xml:space="preserve"> </w:t>
      </w:r>
      <m:oMath>
        <m:r>
          <m:t>Q</m:t>
        </m:r>
      </m:oMath>
      <w:r>
        <w:t xml:space="preserve"> </w:t>
      </w:r>
      <w:r>
        <w:t xml:space="preserve">and</w:t>
      </w:r>
      <w:r>
        <w:t xml:space="preserve"> </w:t>
      </w:r>
      <m:oMath>
        <m:r>
          <m:t>K</m:t>
        </m:r>
      </m:oMath>
      <w:r>
        <w:t xml:space="preserve"> </w:t>
      </w:r>
      <w:r>
        <w:t xml:space="preserve">from their own hidden states. This creates a circular self-reference. The</w:t>
      </w:r>
      <w:r>
        <w:t xml:space="preserve"> </w:t>
      </w:r>
      <w:r>
        <w:t xml:space="preserve">“lost in the middle”</w:t>
      </w:r>
      <w:r>
        <w:t xml:space="preserve"> </w:t>
      </w:r>
      <w:r>
        <w:t xml:space="preserve">effect </w:t>
      </w:r>
      <w:r>
        <w:t xml:space="preserve"> </w:t>
      </w:r>
      <w:r>
        <w:t xml:space="preserve">shows that LLMs struggle with mid-context information. As conversations progress, constitutional constraints drift into poorly attended areas.</w:t>
      </w:r>
    </w:p>
    <w:p>
      <w:pPr>
        <w:pStyle w:val="BodyText"/>
      </w:pPr>
      <w:r>
        <w:rPr>
          <w:b/>
          <w:bCs/>
        </w:rPr>
        <w:t xml:space="preserve">Definition (Primacy Attractor):</w:t>
      </w:r>
      <w:r>
        <w:t xml:space="preserve"> </w:t>
      </w:r>
      <w:r>
        <w:t xml:space="preserve">A fixed point</w:t>
      </w:r>
      <w:r>
        <w:t xml:space="preserve"> </w:t>
      </w:r>
      <m:oMath>
        <m:acc>
          <m:accPr>
            <m:chr m:val="̂"/>
          </m:accPr>
          <m:e>
            <m:r>
              <m:t>a</m:t>
            </m:r>
          </m:e>
        </m:acc>
        <m:r>
          <m:rPr>
            <m:sty m:val="p"/>
          </m:rPr>
          <m:t>∈</m:t>
        </m:r>
        <m:sSup>
          <m:e>
            <m:r>
              <m:rPr>
                <m:scr m:val="double-struck"/>
                <m:sty m:val="p"/>
              </m:rPr>
              <m:t>R</m:t>
            </m:r>
          </m:e>
          <m:sup>
            <m:r>
              <m:t>n</m:t>
            </m:r>
          </m:sup>
        </m:sSup>
      </m:oMath>
      <w:r>
        <w:t xml:space="preserve"> </w:t>
      </w:r>
      <w:r>
        <w:t xml:space="preserve">encoding constitutional constraints:</w:t>
      </w:r>
    </w:p>
    <w:p>
      <w:pPr>
        <w:pStyle w:val="BodyText"/>
      </w:pPr>
      <m:oMathPara>
        <m:oMathParaPr>
          <m:jc m:val="center"/>
        </m:oMathParaPr>
        <m:oMath>
          <m:acc>
            <m:accPr>
              <m:chr m:val="̂"/>
            </m:accPr>
            <m:e>
              <m:r>
                <m:t>a</m:t>
              </m:r>
            </m:e>
          </m:acc>
          <m:r>
            <m:rPr>
              <m:sty m:val="p"/>
            </m:rPr>
            <m:t>=</m:t>
          </m:r>
          <m:f>
            <m:fPr>
              <m:type m:val="bar"/>
            </m:fPr>
            <m:num>
              <m:r>
                <m:t>τ</m:t>
              </m:r>
              <m:r>
                <m:rPr>
                  <m:sty m:val="p"/>
                </m:rPr>
                <m:t>⋅</m:t>
              </m:r>
              <m:r>
                <m:t>p</m:t>
              </m:r>
              <m:r>
                <m:rPr>
                  <m:sty m:val="p"/>
                </m:rPr>
                <m:t>+</m:t>
              </m:r>
              <m:r>
                <m:rPr>
                  <m:sty m:val="p"/>
                </m:rPr>
                <m:t>(</m:t>
              </m:r>
              <m:r>
                <m:t>1</m:t>
              </m:r>
              <m:r>
                <m:rPr>
                  <m:sty m:val="p"/>
                </m:rPr>
                <m:t>−</m:t>
              </m:r>
              <m:r>
                <m:t>τ</m:t>
              </m:r>
              <m:r>
                <m:rPr>
                  <m:sty m:val="p"/>
                </m:rPr>
                <m:t>)</m:t>
              </m:r>
              <m:r>
                <m:rPr>
                  <m:sty m:val="p"/>
                </m:rPr>
                <m:t>⋅</m:t>
              </m:r>
              <m:r>
                <m:t>s</m:t>
              </m:r>
            </m:num>
            <m:den>
              <m:r>
                <m:rPr>
                  <m:sty m:val="p"/>
                </m:rPr>
                <m:t>∥</m:t>
              </m:r>
              <m:r>
                <m:t>τ</m:t>
              </m:r>
              <m:r>
                <m:rPr>
                  <m:sty m:val="p"/>
                </m:rPr>
                <m:t>⋅</m:t>
              </m:r>
              <m:r>
                <m:t>p</m:t>
              </m:r>
              <m:r>
                <m:rPr>
                  <m:sty m:val="p"/>
                </m:rPr>
                <m:t>+</m:t>
              </m:r>
              <m:r>
                <m:rPr>
                  <m:sty m:val="p"/>
                </m:rPr>
                <m:t>(</m:t>
              </m:r>
              <m:r>
                <m:t>1</m:t>
              </m:r>
              <m:r>
                <m:rPr>
                  <m:sty m:val="p"/>
                </m:rPr>
                <m:t>−</m:t>
              </m:r>
              <m:r>
                <m:t>τ</m:t>
              </m:r>
              <m:r>
                <m:rPr>
                  <m:sty m:val="p"/>
                </m:rPr>
                <m:t>)</m:t>
              </m:r>
              <m:r>
                <m:rPr>
                  <m:sty m:val="p"/>
                </m:rPr>
                <m:t>⋅</m:t>
              </m:r>
              <m:r>
                <m:t>s</m:t>
              </m:r>
              <m:r>
                <m:rPr>
                  <m:sty m:val="p"/>
                </m:rPr>
                <m:t>∥</m:t>
              </m:r>
            </m:den>
          </m:f>
        </m:oMath>
      </m:oMathPara>
    </w:p>
    <w:p>
      <w:pPr>
        <w:pStyle w:val="FirstParagraph"/>
      </w:pPr>
      <w:r>
        <w:t xml:space="preserve">where</w:t>
      </w:r>
      <w:r>
        <w:t xml:space="preserve"> </w:t>
      </w:r>
      <m:oMath>
        <m:r>
          <m:t>p</m:t>
        </m:r>
      </m:oMath>
      <w:r>
        <w:t xml:space="preserve"> </w:t>
      </w:r>
      <w:r>
        <w:t xml:space="preserve">is purpose,</w:t>
      </w:r>
      <w:r>
        <w:t xml:space="preserve"> </w:t>
      </w:r>
      <m:oMath>
        <m:r>
          <m:t>s</m:t>
        </m:r>
      </m:oMath>
      <w:r>
        <w:t xml:space="preserve"> </w:t>
      </w:r>
      <w:r>
        <w:t xml:space="preserve">is scope, and</w:t>
      </w:r>
      <w:r>
        <w:t xml:space="preserve"> </w:t>
      </w:r>
      <m:oMath>
        <m:r>
          <m:t>τ</m:t>
        </m:r>
        <m:r>
          <m:rPr>
            <m:sty m:val="p"/>
          </m:rPr>
          <m:t>∈</m:t>
        </m:r>
        <m:r>
          <m:rPr>
            <m:sty m:val="p"/>
          </m:rPr>
          <m:t>[</m:t>
        </m:r>
        <m:r>
          <m:t>0</m:t>
        </m:r>
        <m:r>
          <m:rPr>
            <m:sty m:val="p"/>
          </m:rPr>
          <m:t>,</m:t>
        </m:r>
        <m:r>
          <m:t>1</m:t>
        </m:r>
        <m:r>
          <m:rPr>
            <m:sty m:val="p"/>
          </m:rPr>
          <m:t>]</m:t>
        </m:r>
      </m:oMath>
      <w:r>
        <w:t xml:space="preserve"> </w:t>
      </w:r>
      <w:r>
        <w:t xml:space="preserve">is constraint tolerance.</w:t>
      </w:r>
    </w:p>
    <w:p>
      <w:pPr>
        <w:pStyle w:val="BodyText"/>
      </w:pPr>
      <w:r>
        <w:t xml:space="preserve">The PA remains constant, providing a stable fidelity measurement:</w:t>
      </w:r>
    </w:p>
    <w:p>
      <w:pPr>
        <w:pStyle w:val="BodyText"/>
      </w:pPr>
      <m:oMathPara>
        <m:oMathParaPr>
          <m:jc m:val="center"/>
        </m:oMathParaPr>
        <m:oMath>
          <m:r>
            <m:rPr>
              <m:nor/>
              <m:sty m:val="p"/>
            </m:rPr>
            <m:t>Fidelity</m:t>
          </m:r>
          <m:r>
            <m:rPr>
              <m:sty m:val="p"/>
            </m:rPr>
            <m:t>(</m:t>
          </m:r>
          <m:r>
            <m:t>q</m:t>
          </m:r>
          <m:r>
            <m:rPr>
              <m:sty m:val="p"/>
            </m:rPr>
            <m:t>)</m:t>
          </m:r>
          <m:r>
            <m:rPr>
              <m:sty m:val="p"/>
            </m:rPr>
            <m:t>=</m:t>
          </m:r>
          <m:r>
            <m:rPr>
              <m:sty m:val="p"/>
            </m:rPr>
            <m:t>cos</m:t>
          </m:r>
          <m:r>
            <m:rPr>
              <m:sty m:val="p"/>
            </m:rPr>
            <m:t>(</m:t>
          </m:r>
          <m:r>
            <m:t>q</m:t>
          </m:r>
          <m:r>
            <m:rPr>
              <m:sty m:val="p"/>
            </m:rPr>
            <m:t>,</m:t>
          </m:r>
          <m:acc>
            <m:accPr>
              <m:chr m:val="̂"/>
            </m:accPr>
            <m:e>
              <m:r>
                <m:t>a</m:t>
              </m:r>
            </m:e>
          </m:acc>
          <m:r>
            <m:rPr>
              <m:sty m:val="p"/>
            </m:rPr>
            <m:t>)</m:t>
          </m:r>
          <m:r>
            <m:rPr>
              <m:sty m:val="p"/>
            </m:rPr>
            <m:t>=</m:t>
          </m:r>
          <m:f>
            <m:fPr>
              <m:type m:val="bar"/>
            </m:fPr>
            <m:num>
              <m:r>
                <m:t>q</m:t>
              </m:r>
              <m:r>
                <m:rPr>
                  <m:sty m:val="p"/>
                </m:rPr>
                <m:t>⋅</m:t>
              </m:r>
              <m:acc>
                <m:accPr>
                  <m:chr m:val="̂"/>
                </m:accPr>
                <m:e>
                  <m:r>
                    <m:t>a</m:t>
                  </m:r>
                </m:e>
              </m:acc>
            </m:num>
            <m:den>
              <m:r>
                <m:rPr>
                  <m:sty m:val="p"/>
                </m:rPr>
                <m:t>∥</m:t>
              </m:r>
              <m:r>
                <m:t>q</m:t>
              </m:r>
              <m:r>
                <m:rPr>
                  <m:sty m:val="p"/>
                </m:rPr>
                <m:t>∥</m:t>
              </m:r>
              <m:r>
                <m:rPr>
                  <m:sty m:val="p"/>
                </m:rPr>
                <m:t>⋅</m:t>
              </m:r>
              <m:r>
                <m:rPr>
                  <m:sty m:val="p"/>
                </m:rPr>
                <m:t>∥</m:t>
              </m:r>
              <m:acc>
                <m:accPr>
                  <m:chr m:val="̂"/>
                </m:accPr>
                <m:e>
                  <m:r>
                    <m:t>a</m:t>
                  </m:r>
                </m:e>
              </m:acc>
              <m:r>
                <m:rPr>
                  <m:sty m:val="p"/>
                </m:rPr>
                <m:t>∥</m:t>
              </m:r>
            </m:den>
          </m:f>
        </m:oMath>
      </m:oMathPara>
    </w:p>
    <w:p>
      <w:pPr>
        <w:pStyle w:val="FirstParagraph"/>
      </w:pPr>
      <w:r>
        <w:t xml:space="preserve">This geometric relationship is independent of token position, resolving the reference point problem.</w:t>
      </w:r>
    </w:p>
    <w:bookmarkEnd w:id="11"/>
    <w:bookmarkStart w:id="12" w:name="mathematical-foundation"/>
    <w:p>
      <w:pPr>
        <w:pStyle w:val="Heading1"/>
      </w:pPr>
      <w:r>
        <w:t xml:space="preserve">Mathematical Foundation</w:t>
      </w:r>
    </w:p>
    <w:p>
      <w:pPr>
        <w:pStyle w:val="FirstParagraph"/>
      </w:pPr>
      <w:r>
        <w:rPr>
          <w:b/>
          <w:bCs/>
        </w:rPr>
        <w:t xml:space="preserve">Basin Geometry:</w:t>
      </w:r>
      <w:r>
        <w:t xml:space="preserve"> </w:t>
      </w:r>
      <w:r>
        <w:t xml:space="preserve">The basin radius</w:t>
      </w:r>
      <w:r>
        <w:t xml:space="preserve"> </w:t>
      </w:r>
      <m:oMath>
        <m:r>
          <m:t>r</m:t>
        </m:r>
        <m:r>
          <m:rPr>
            <m:sty m:val="p"/>
          </m:rPr>
          <m:t>=</m:t>
        </m:r>
        <m:r>
          <m:t>2</m:t>
        </m:r>
        <m:r>
          <m:rPr>
            <m:sty m:val="p"/>
          </m:rPr>
          <m:t>/</m:t>
        </m:r>
        <m:r>
          <m:t>ρ</m:t>
        </m:r>
      </m:oMath>
      <w:r>
        <w:t xml:space="preserve">, where</w:t>
      </w:r>
      <w:r>
        <w:t xml:space="preserve"> </w:t>
      </w:r>
      <m:oMath>
        <m:r>
          <m:t>ρ</m:t>
        </m:r>
        <m:r>
          <m:rPr>
            <m:sty m:val="p"/>
          </m:rPr>
          <m:t>=</m:t>
        </m:r>
        <m:r>
          <m:rPr>
            <m:sty m:val="p"/>
          </m:rPr>
          <m:t>max</m:t>
        </m:r>
        <m:r>
          <m:rPr>
            <m:sty m:val="p"/>
          </m:rPr>
          <m:t>(</m:t>
        </m:r>
        <m:r>
          <m:t>1</m:t>
        </m:r>
        <m:r>
          <m:rPr>
            <m:sty m:val="p"/>
          </m:rPr>
          <m:t>−</m:t>
        </m:r>
        <m:r>
          <m:t>τ</m:t>
        </m:r>
        <m:r>
          <m:rPr>
            <m:sty m:val="p"/>
          </m:rPr>
          <m:t>,</m:t>
        </m:r>
        <m:r>
          <m:t>0.25</m:t>
        </m:r>
        <m:r>
          <m:rPr>
            <m:sty m:val="p"/>
          </m:rPr>
          <m:t>)</m:t>
        </m:r>
      </m:oMath>
      <w:r>
        <w:t xml:space="preserve">, balances false positives against adversarial coverage.</w:t>
      </w:r>
    </w:p>
    <w:p>
      <w:pPr>
        <w:pStyle w:val="BodyText"/>
      </w:pPr>
      <w:r>
        <w:rPr>
          <w:b/>
          <w:bCs/>
        </w:rPr>
        <w:t xml:space="preserve">Lyapunov Stability:</w:t>
      </w:r>
      <w:r>
        <w:t xml:space="preserve"> </w:t>
      </w:r>
      <w:r>
        <w:t xml:space="preserve">Define</w:t>
      </w:r>
      <w:r>
        <w:t xml:space="preserve"> </w:t>
      </w:r>
      <m:oMath>
        <m:r>
          <m:t>V</m:t>
        </m:r>
        <m:r>
          <m:rPr>
            <m:sty m:val="p"/>
          </m:rPr>
          <m:t>(</m:t>
        </m:r>
        <m:r>
          <m:t>x</m:t>
        </m:r>
        <m:r>
          <m:rPr>
            <m:sty m:val="p"/>
          </m:rPr>
          <m:t>)</m:t>
        </m:r>
        <m:r>
          <m:rPr>
            <m:sty m:val="p"/>
          </m:rPr>
          <m:t>=</m:t>
        </m:r>
        <m:f>
          <m:fPr>
            <m:type m:val="bar"/>
          </m:fPr>
          <m:num>
            <m:r>
              <m:t>1</m:t>
            </m:r>
          </m:num>
          <m:den>
            <m:r>
              <m:t>2</m:t>
            </m:r>
          </m:den>
        </m:f>
        <m:r>
          <m:rPr>
            <m:sty m:val="p"/>
          </m:rPr>
          <m:t>∥</m:t>
        </m:r>
        <m:r>
          <m:t>x</m:t>
        </m:r>
        <m:r>
          <m:rPr>
            <m:sty m:val="p"/>
          </m:rPr>
          <m:t>−</m:t>
        </m:r>
        <m:acc>
          <m:accPr>
            <m:chr m:val="̂"/>
          </m:accPr>
          <m:e>
            <m:r>
              <m:t>a</m:t>
            </m:r>
          </m:e>
        </m:acc>
        <m:sSup>
          <m:e>
            <m:r>
              <m:rPr>
                <m:sty m:val="p"/>
              </m:rPr>
              <m:t>∥</m:t>
            </m:r>
          </m:e>
          <m:sup>
            <m:r>
              <m:t>2</m:t>
            </m:r>
          </m:sup>
        </m:sSup>
      </m:oMath>
      <w:r>
        <w:t xml:space="preserve">. With proportional control</w:t>
      </w:r>
      <w:r>
        <w:t xml:space="preserve"> </w:t>
      </w:r>
      <m:oMath>
        <m:r>
          <m:t>u</m:t>
        </m:r>
        <m:r>
          <m:rPr>
            <m:sty m:val="p"/>
          </m:rPr>
          <m:t>=</m:t>
        </m:r>
        <m:r>
          <m:rPr>
            <m:sty m:val="p"/>
          </m:rPr>
          <m:t>−</m:t>
        </m:r>
        <m:r>
          <m:t>K</m:t>
        </m:r>
        <m:r>
          <m:rPr>
            <m:sty m:val="p"/>
          </m:rPr>
          <m:t>(</m:t>
        </m:r>
        <m:r>
          <m:t>x</m:t>
        </m:r>
        <m:r>
          <m:rPr>
            <m:sty m:val="p"/>
          </m:rPr>
          <m:t>−</m:t>
        </m:r>
        <m:acc>
          <m:accPr>
            <m:chr m:val="̂"/>
          </m:accPr>
          <m:e>
            <m:r>
              <m:t>a</m:t>
            </m:r>
          </m:e>
        </m:acc>
        <m:r>
          <m:rPr>
            <m:sty m:val="p"/>
          </m:rPr>
          <m:t>)</m:t>
        </m:r>
      </m:oMath>
      <w:r>
        <w:t xml:space="preserve">:</w:t>
      </w:r>
    </w:p>
    <w:p>
      <w:pPr>
        <w:numPr>
          <w:ilvl w:val="0"/>
          <w:numId w:val="1002"/>
        </w:numPr>
      </w:pPr>
      <m:oMath>
        <m:r>
          <m:t>V</m:t>
        </m:r>
        <m:r>
          <m:rPr>
            <m:sty m:val="p"/>
          </m:rPr>
          <m:t>(</m:t>
        </m:r>
        <m:r>
          <m:t>x</m:t>
        </m:r>
        <m:r>
          <m:rPr>
            <m:sty m:val="p"/>
          </m:rPr>
          <m:t>)</m:t>
        </m:r>
        <m:r>
          <m:rPr>
            <m:sty m:val="p"/>
          </m:rPr>
          <m:t>=</m:t>
        </m:r>
        <m:r>
          <m:t>0</m:t>
        </m:r>
      </m:oMath>
      <w:r>
        <w:t xml:space="preserve"> </w:t>
      </w:r>
      <w:r>
        <w:t xml:space="preserve">iff</w:t>
      </w:r>
      <w:r>
        <w:t xml:space="preserve"> </w:t>
      </w:r>
      <m:oMath>
        <m:r>
          <m:t>x</m:t>
        </m:r>
        <m:r>
          <m:rPr>
            <m:sty m:val="p"/>
          </m:rPr>
          <m:t>=</m:t>
        </m:r>
        <m:acc>
          <m:accPr>
            <m:chr m:val="̂"/>
          </m:accPr>
          <m:e>
            <m:r>
              <m:t>a</m:t>
            </m:r>
          </m:e>
        </m:acc>
      </m:oMath>
      <w:r>
        <w:t xml:space="preserve"> </w:t>
      </w:r>
      <w:r>
        <w:t xml:space="preserve">(positive definite)</w:t>
      </w:r>
    </w:p>
    <w:p>
      <w:pPr>
        <w:numPr>
          <w:ilvl w:val="0"/>
          <w:numId w:val="1002"/>
        </w:numPr>
      </w:pPr>
      <m:oMath>
        <m:acc>
          <m:accPr>
            <m:chr m:val="̇"/>
          </m:accPr>
          <m:e>
            <m:r>
              <m:t>V</m:t>
            </m:r>
          </m:e>
        </m:acc>
        <m:r>
          <m:rPr>
            <m:sty m:val="p"/>
          </m:rPr>
          <m:t>(</m:t>
        </m:r>
        <m:r>
          <m:t>x</m:t>
        </m:r>
        <m:r>
          <m:rPr>
            <m:sty m:val="p"/>
          </m:rPr>
          <m:t>)</m:t>
        </m:r>
        <m:r>
          <m:rPr>
            <m:sty m:val="p"/>
          </m:rPr>
          <m:t>=</m:t>
        </m:r>
        <m:r>
          <m:rPr>
            <m:sty m:val="p"/>
          </m:rPr>
          <m:t>−</m:t>
        </m:r>
        <m:r>
          <m:t>K</m:t>
        </m:r>
        <m:r>
          <m:rPr>
            <m:sty m:val="p"/>
          </m:rPr>
          <m:t>∥</m:t>
        </m:r>
        <m:r>
          <m:t>x</m:t>
        </m:r>
        <m:r>
          <m:rPr>
            <m:sty m:val="p"/>
          </m:rPr>
          <m:t>−</m:t>
        </m:r>
        <m:acc>
          <m:accPr>
            <m:chr m:val="̂"/>
          </m:accPr>
          <m:e>
            <m:r>
              <m:t>a</m:t>
            </m:r>
          </m:e>
        </m:acc>
        <m:sSup>
          <m:e>
            <m:r>
              <m:rPr>
                <m:sty m:val="p"/>
              </m:rPr>
              <m:t>∥</m:t>
            </m:r>
          </m:e>
          <m:sup>
            <m:r>
              <m:t>2</m:t>
            </m:r>
          </m:sup>
        </m:sSup>
        <m:r>
          <m:rPr>
            <m:sty m:val="p"/>
          </m:rPr>
          <m:t>&lt;</m:t>
        </m:r>
        <m:r>
          <m:t>0</m:t>
        </m:r>
      </m:oMath>
      <w:r>
        <w:t xml:space="preserve"> </w:t>
      </w:r>
      <w:r>
        <w:t xml:space="preserve">for</w:t>
      </w:r>
      <w:r>
        <w:t xml:space="preserve"> </w:t>
      </w:r>
      <m:oMath>
        <m:r>
          <m:t>x</m:t>
        </m:r>
        <m:r>
          <m:rPr>
            <m:sty m:val="p"/>
          </m:rPr>
          <m:t>≠</m:t>
        </m:r>
        <m:acc>
          <m:accPr>
            <m:chr m:val="̂"/>
          </m:accPr>
          <m:e>
            <m:r>
              <m:t>a</m:t>
            </m:r>
          </m:e>
        </m:acc>
      </m:oMath>
    </w:p>
    <w:p>
      <w:pPr>
        <w:numPr>
          <w:ilvl w:val="0"/>
          <w:numId w:val="1002"/>
        </w:numPr>
      </w:pPr>
      <m:oMath>
        <m:r>
          <m:t>V</m:t>
        </m:r>
        <m:r>
          <m:rPr>
            <m:sty m:val="p"/>
          </m:rPr>
          <m:t>(</m:t>
        </m:r>
        <m:r>
          <m:t>x</m:t>
        </m:r>
        <m:r>
          <m:rPr>
            <m:sty m:val="p"/>
          </m:rPr>
          <m:t>)</m:t>
        </m:r>
        <m:r>
          <m:rPr>
            <m:sty m:val="p"/>
          </m:rPr>
          <m:t>→</m:t>
        </m:r>
        <m:r>
          <m:rPr>
            <m:sty m:val="p"/>
          </m:rPr>
          <m:t>∞</m:t>
        </m:r>
      </m:oMath>
      <w:r>
        <w:t xml:space="preserve"> </w:t>
      </w:r>
      <w:r>
        <w:t xml:space="preserve">as</w:t>
      </w:r>
      <w:r>
        <w:t xml:space="preserve"> </w:t>
      </w:r>
      <m:oMath>
        <m:r>
          <m:rPr>
            <m:sty m:val="p"/>
          </m:rPr>
          <m:t>∥</m:t>
        </m:r>
        <m:r>
          <m:t>x</m:t>
        </m:r>
        <m:r>
          <m:rPr>
            <m:sty m:val="p"/>
          </m:rPr>
          <m:t>∥</m:t>
        </m:r>
        <m:r>
          <m:rPr>
            <m:sty m:val="p"/>
          </m:rPr>
          <m:t>→</m:t>
        </m:r>
        <m:r>
          <m:rPr>
            <m:sty m:val="p"/>
          </m:rPr>
          <m:t>∞</m:t>
        </m:r>
      </m:oMath>
      <w:r>
        <w:t xml:space="preserve"> </w:t>
      </w:r>
      <w:r>
        <w:t xml:space="preserve">(radially unbounded)</w:t>
      </w:r>
    </w:p>
    <w:p>
      <w:pPr>
        <w:pStyle w:val="FirstParagraph"/>
      </w:pPr>
      <w:r>
        <w:t xml:space="preserve">According to Lyapunov’s theorem, this indicates global asymptotic stability for the idealized continuous system. Empirical validation (Section 5) confirms this theoretical framework across 2,550 real-world attacks.</w:t>
      </w:r>
    </w:p>
    <w:p>
      <w:pPr>
        <w:pStyle w:val="BodyText"/>
      </w:pPr>
      <w:r>
        <w:rPr>
          <w:b/>
          <w:bCs/>
        </w:rPr>
        <w:t xml:space="preserve">Proportional Control:</w:t>
      </w:r>
      <w:r>
        <w:t xml:space="preserve"> </w:t>
      </w:r>
      <w:r>
        <w:t xml:space="preserve">Intervention strength</w:t>
      </w:r>
      <w:r>
        <w:t xml:space="preserve"> </w:t>
      </w:r>
      <m:oMath>
        <m:r>
          <m:t>F</m:t>
        </m:r>
        <m:r>
          <m:rPr>
            <m:sty m:val="p"/>
          </m:rPr>
          <m:t>(</m:t>
        </m:r>
        <m:r>
          <m:t>x</m:t>
        </m:r>
        <m:r>
          <m:rPr>
            <m:sty m:val="p"/>
          </m:rPr>
          <m:t>)</m:t>
        </m:r>
        <m:r>
          <m:rPr>
            <m:sty m:val="p"/>
          </m:rPr>
          <m:t>=</m:t>
        </m:r>
        <m:r>
          <m:t>K</m:t>
        </m:r>
        <m:r>
          <m:rPr>
            <m:sty m:val="p"/>
          </m:rPr>
          <m:t>⋅</m:t>
        </m:r>
        <m:r>
          <m:rPr>
            <m:sty m:val="p"/>
          </m:rPr>
          <m:t>max</m:t>
        </m:r>
        <m:r>
          <m:rPr>
            <m:sty m:val="p"/>
          </m:rPr>
          <m:t>(</m:t>
        </m:r>
        <m:r>
          <m:t>0</m:t>
        </m:r>
        <m:r>
          <m:rPr>
            <m:sty m:val="p"/>
          </m:rPr>
          <m:t>,</m:t>
        </m:r>
        <m:r>
          <m:t>f</m:t>
        </m:r>
        <m:r>
          <m:rPr>
            <m:sty m:val="p"/>
          </m:rPr>
          <m:t>(</m:t>
        </m:r>
        <m:r>
          <m:t>x</m:t>
        </m:r>
        <m:r>
          <m:rPr>
            <m:sty m:val="p"/>
          </m:rPr>
          <m:t>)</m:t>
        </m:r>
        <m:r>
          <m:rPr>
            <m:sty m:val="p"/>
          </m:rPr>
          <m:t>−</m:t>
        </m:r>
        <m:r>
          <m:t>θ</m:t>
        </m:r>
        <m:r>
          <m:rPr>
            <m:sty m:val="p"/>
          </m:rPr>
          <m:t>)</m:t>
        </m:r>
      </m:oMath>
      <w:r>
        <w:t xml:space="preserve"> </w:t>
      </w:r>
      <w:r>
        <w:t xml:space="preserve">with</w:t>
      </w:r>
      <w:r>
        <w:t xml:space="preserve"> </w:t>
      </w:r>
      <m:oMath>
        <m:r>
          <m:t>K</m:t>
        </m:r>
        <m:r>
          <m:rPr>
            <m:sty m:val="p"/>
          </m:rPr>
          <m:t>=</m:t>
        </m:r>
        <m:r>
          <m:t>1.5</m:t>
        </m:r>
      </m:oMath>
      <w:r>
        <w:t xml:space="preserve"> </w:t>
      </w:r>
      <w:r>
        <w:t xml:space="preserve">and</w:t>
      </w:r>
      <w:r>
        <w:t xml:space="preserve"> </w:t>
      </w:r>
      <m:oMath>
        <m:r>
          <m:t>θ</m:t>
        </m:r>
        <m:r>
          <m:rPr>
            <m:sty m:val="p"/>
          </m:rPr>
          <m:t>=</m:t>
        </m:r>
        <m:r>
          <m:t>0.65</m:t>
        </m:r>
      </m:oMath>
      <w:r>
        <w:t xml:space="preserve"> </w:t>
      </w:r>
      <w:r>
        <w:t xml:space="preserve">ensures a graduated response.</w:t>
      </w:r>
    </w:p>
    <w:bookmarkEnd w:id="12"/>
    <w:bookmarkStart w:id="17" w:name="three-tier-defense-architecture"/>
    <w:p>
      <w:pPr>
        <w:pStyle w:val="Heading1"/>
      </w:pPr>
      <w:r>
        <w:t xml:space="preserve">Three-Tier Defense Architecture</w:t>
      </w:r>
    </w:p>
    <w:bookmarkStart w:id="16" w:name="fig:three-tier"/>
    <w:p>
      <w:pPr>
        <w:pStyle w:val="CaptionedFigure"/>
      </w:pPr>
      <w:r>
        <w:drawing>
          <wp:inline>
            <wp:extent cx="5334000" cy="4373217"/>
            <wp:effectExtent b="0" l="0" r="0" t="0"/>
            <wp:docPr descr="" title="" id="14" name="Picture"/>
            <a:graphic>
              <a:graphicData uri="http://schemas.openxmlformats.org/drawingml/2006/picture">
                <pic:pic>
                  <pic:nvPicPr>
                    <pic:cNvPr descr="diagrams/fig1_three_tier_governance.pdf" id="15" name="Picture"/>
                    <pic:cNvPicPr>
                      <a:picLocks noChangeArrowheads="1" noChangeAspect="1"/>
                    </pic:cNvPicPr>
                  </pic:nvPicPr>
                  <pic:blipFill>
                    <a:blip r:embed="rId13"/>
                    <a:stretch>
                      <a:fillRect/>
                    </a:stretch>
                  </pic:blipFill>
                  <pic:spPr bwMode="auto">
                    <a:xfrm>
                      <a:off x="0" y="0"/>
                      <a:ext cx="5334000" cy="4373217"/>
                    </a:xfrm>
                    <a:prstGeom prst="rect">
                      <a:avLst/>
                    </a:prstGeom>
                    <a:noFill/>
                    <a:ln w="9525">
                      <a:noFill/>
                      <a:headEnd/>
                      <a:tailEnd/>
                    </a:ln>
                  </pic:spPr>
                </pic:pic>
              </a:graphicData>
            </a:graphic>
          </wp:inline>
        </w:drawing>
      </w:r>
    </w:p>
    <w:p>
      <w:pPr>
        <w:pStyle w:val="ImageCaption"/>
      </w:pPr>
      <w:r>
        <w:t xml:space="preserve">Three-Tier Governance. Tier 1: mathematical enforcement (95.8% of blocks). Tier 2: policy retrieval (3.0%). Tier 3: human escalation (1.2%). All logged for audit.</w:t>
      </w:r>
    </w:p>
    <w:bookmarkEnd w:id="16"/>
    <w:p>
      <w:pPr>
        <w:pStyle w:val="BodyText"/>
      </w:pPr>
      <w:r>
        <w:rPr>
          <w:b/>
          <w:bCs/>
        </w:rPr>
        <w:t xml:space="preserve">Tier 1 – Mathematical Enforcement:</w:t>
      </w:r>
      <w:r>
        <w:t xml:space="preserve"> </w:t>
      </w:r>
      <w:r>
        <w:t xml:space="preserve">Measures embedding fidelity. It is deterministic, position-invariant, and has millisecond latency.</w:t>
      </w:r>
    </w:p>
    <w:p>
      <w:pPr>
        <w:pStyle w:val="BodyText"/>
      </w:pPr>
      <w:r>
        <w:rPr>
          <w:b/>
          <w:bCs/>
        </w:rPr>
        <w:t xml:space="preserve">Tier 2 – Authoritative Guidance:</w:t>
      </w:r>
      <w:r>
        <w:t xml:space="preserve"> </w:t>
      </w:r>
      <w:r>
        <w:t xml:space="preserve">RAG from verified regulatory sources (CFR, HIPAA, AMA). Activated for ambiguous cases (</w:t>
      </w:r>
      <m:oMath>
        <m:r>
          <m:t>0.35</m:t>
        </m:r>
        <m:r>
          <m:rPr>
            <m:sty m:val="p"/>
          </m:rPr>
          <m:t>≤</m:t>
        </m:r>
        <m:r>
          <m:t>f</m:t>
        </m:r>
        <m:r>
          <m:rPr>
            <m:sty m:val="p"/>
          </m:rPr>
          <m:t>&lt;</m:t>
        </m:r>
        <m:r>
          <m:t>0.65</m:t>
        </m:r>
      </m:oMath>
      <w:r>
        <w:t xml:space="preserve">).</w:t>
      </w:r>
    </w:p>
    <w:p>
      <w:pPr>
        <w:pStyle w:val="BodyText"/>
      </w:pPr>
      <w:r>
        <w:rPr>
          <w:b/>
          <w:bCs/>
        </w:rPr>
        <w:t xml:space="preserve">Tier 3 – Human Escalation:</w:t>
      </w:r>
      <w:r>
        <w:t xml:space="preserve"> </w:t>
      </w:r>
      <w:r>
        <w:t xml:space="preserve">Domain experts (Privacy Officer, Legal Counsel, CMO) handle edge cases.</w:t>
      </w:r>
    </w:p>
    <w:p>
      <w:pPr>
        <w:pStyle w:val="BodyText"/>
      </w:pPr>
      <w:r>
        <w:t xml:space="preserve">For a violation to happen, the attacker must simultaneously: (1) manipulate embedding math, (2) exploit regulatory gaps, and (3) deceive trained professionals.</w:t>
      </w:r>
    </w:p>
    <w:bookmarkEnd w:id="17"/>
    <w:bookmarkStart w:id="18" w:name="validation-results"/>
    <w:p>
      <w:pPr>
        <w:pStyle w:val="Heading1"/>
      </w:pPr>
      <w:r>
        <w:t xml:space="preserve">Validation Results</w:t>
      </w:r>
    </w:p>
    <w:p>
      <w:pPr>
        <w:pStyle w:val="TableCaption"/>
      </w:pPr>
      <w:r>
        <w:t xml:space="preserve">Attack Success Rate: 0/2,550 (0%)</w:t>
      </w:r>
    </w:p>
    <w:tbl>
      <w:tblPr>
        <w:tblStyle w:val="Table"/>
        <w:tblW w:type="auto" w:w="0"/>
        <w:tblLook w:firstRow="1" w:lastRow="0" w:firstColumn="0" w:lastColumn="0" w:noHBand="0" w:noVBand="0" w:val="0020"/>
        <w:tblCaption w:val="Attack Success Rate: 0/2,550 (0%)"/>
      </w:tblPr>
      <w:tblGrid>
        <w:gridCol w:w="1980"/>
        <w:gridCol w:w="1980"/>
        <w:gridCol w:w="1980"/>
        <w:gridCol w:w="1980"/>
      </w:tblGrid>
      <w:tr>
        <w:trPr>
          <w:tblHeader w:val="on"/>
        </w:trPr>
        <w:tc>
          <w:tcPr/>
          <w:p>
            <w:pPr>
              <w:pStyle w:val="Compact"/>
              <w:jc w:val="left"/>
            </w:pPr>
            <w:r>
              <w:rPr>
                <w:b/>
                <w:bCs/>
              </w:rPr>
              <w:t xml:space="preserve">Benchmark</w:t>
            </w:r>
          </w:p>
        </w:tc>
        <w:tc>
          <w:tcPr/>
          <w:p>
            <w:pPr>
              <w:pStyle w:val="Compact"/>
              <w:jc w:val="right"/>
            </w:pPr>
            <w:r>
              <w:rPr>
                <w:b/>
                <w:bCs/>
              </w:rPr>
              <w:t xml:space="preserve">N</w:t>
            </w:r>
          </w:p>
        </w:tc>
        <w:tc>
          <w:tcPr/>
          <w:p>
            <w:pPr>
              <w:pStyle w:val="Compact"/>
              <w:jc w:val="left"/>
            </w:pPr>
            <w:r>
              <w:rPr>
                <w:b/>
                <w:bCs/>
              </w:rPr>
              <w:t xml:space="preserve">Domain</w:t>
            </w:r>
          </w:p>
        </w:tc>
        <w:tc>
          <w:tcPr/>
          <w:p>
            <w:pPr>
              <w:pStyle w:val="Compact"/>
              <w:jc w:val="right"/>
            </w:pPr>
            <w:r>
              <w:rPr>
                <w:b/>
                <w:bCs/>
              </w:rPr>
              <w:t xml:space="preserve">ASR</w:t>
            </w:r>
          </w:p>
        </w:tc>
      </w:tr>
      <w:tr>
        <w:tc>
          <w:tcPr/>
          <w:p>
            <w:pPr>
              <w:pStyle w:val="Compact"/>
              <w:jc w:val="left"/>
            </w:pPr>
            <w:r>
              <w:t xml:space="preserve">AILuminate</w:t>
            </w:r>
          </w:p>
        </w:tc>
        <w:tc>
          <w:tcPr/>
          <w:p>
            <w:pPr>
              <w:pStyle w:val="Compact"/>
              <w:jc w:val="right"/>
            </w:pPr>
            <w:r>
              <w:t xml:space="preserve">1,200</w:t>
            </w:r>
          </w:p>
        </w:tc>
        <w:tc>
          <w:tcPr/>
          <w:p>
            <w:pPr>
              <w:pStyle w:val="Compact"/>
              <w:jc w:val="left"/>
            </w:pPr>
            <w:r>
              <w:t xml:space="preserve">Industry (MLCommons)</w:t>
            </w:r>
          </w:p>
        </w:tc>
        <w:tc>
          <w:tcPr/>
          <w:p>
            <w:pPr>
              <w:pStyle w:val="Compact"/>
              <w:jc w:val="right"/>
            </w:pPr>
            <w:r>
              <w:t xml:space="preserve">0%</w:t>
            </w:r>
          </w:p>
        </w:tc>
      </w:tr>
      <w:tr>
        <w:tc>
          <w:tcPr/>
          <w:p>
            <w:pPr>
              <w:pStyle w:val="Compact"/>
              <w:jc w:val="left"/>
            </w:pPr>
            <w:r>
              <w:t xml:space="preserve">HarmBench</w:t>
            </w:r>
          </w:p>
        </w:tc>
        <w:tc>
          <w:tcPr/>
          <w:p>
            <w:pPr>
              <w:pStyle w:val="Compact"/>
              <w:jc w:val="right"/>
            </w:pPr>
            <w:r>
              <w:t xml:space="preserve">400</w:t>
            </w:r>
          </w:p>
        </w:tc>
        <w:tc>
          <w:tcPr/>
          <w:p>
            <w:pPr>
              <w:pStyle w:val="Compact"/>
              <w:jc w:val="left"/>
            </w:pPr>
            <w:r>
              <w:t xml:space="preserve">General</w:t>
            </w:r>
          </w:p>
        </w:tc>
        <w:tc>
          <w:tcPr/>
          <w:p>
            <w:pPr>
              <w:pStyle w:val="Compact"/>
              <w:jc w:val="right"/>
            </w:pPr>
            <w:r>
              <w:t xml:space="preserve">0%</w:t>
            </w:r>
          </w:p>
        </w:tc>
      </w:tr>
      <w:tr>
        <w:tc>
          <w:tcPr/>
          <w:p>
            <w:pPr>
              <w:pStyle w:val="Compact"/>
              <w:jc w:val="left"/>
            </w:pPr>
            <w:r>
              <w:t xml:space="preserve">MedSafetyBench</w:t>
            </w:r>
          </w:p>
        </w:tc>
        <w:tc>
          <w:tcPr/>
          <w:p>
            <w:pPr>
              <w:pStyle w:val="Compact"/>
              <w:jc w:val="right"/>
            </w:pPr>
            <w:r>
              <w:t xml:space="preserve">900</w:t>
            </w:r>
          </w:p>
        </w:tc>
        <w:tc>
          <w:tcPr/>
          <w:p>
            <w:pPr>
              <w:pStyle w:val="Compact"/>
              <w:jc w:val="left"/>
            </w:pPr>
            <w:r>
              <w:t xml:space="preserve">Healthcare</w:t>
            </w:r>
          </w:p>
        </w:tc>
        <w:tc>
          <w:tcPr/>
          <w:p>
            <w:pPr>
              <w:pStyle w:val="Compact"/>
              <w:jc w:val="right"/>
            </w:pPr>
            <w:r>
              <w:t xml:space="preserve">0%</w:t>
            </w:r>
          </w:p>
        </w:tc>
      </w:tr>
      <w:tr>
        <w:tc>
          <w:tcPr/>
          <w:p>
            <w:pPr>
              <w:pStyle w:val="Compact"/>
              <w:jc w:val="left"/>
            </w:pPr>
            <w:r>
              <w:t xml:space="preserve">SB 243</w:t>
            </w:r>
          </w:p>
        </w:tc>
        <w:tc>
          <w:tcPr/>
          <w:p>
            <w:pPr>
              <w:pStyle w:val="Compact"/>
              <w:jc w:val="right"/>
            </w:pPr>
            <w:r>
              <w:t xml:space="preserve">50</w:t>
            </w:r>
          </w:p>
        </w:tc>
        <w:tc>
          <w:tcPr/>
          <w:p>
            <w:pPr>
              <w:pStyle w:val="Compact"/>
              <w:jc w:val="left"/>
            </w:pPr>
            <w:r>
              <w:t xml:space="preserve">Child safety</w:t>
            </w:r>
          </w:p>
        </w:tc>
        <w:tc>
          <w:tcPr/>
          <w:p>
            <w:pPr>
              <w:pStyle w:val="Compact"/>
              <w:jc w:val="right"/>
            </w:pPr>
            <w:r>
              <w:t xml:space="preserve">0%</w:t>
            </w:r>
          </w:p>
        </w:tc>
      </w:tr>
      <w:tr>
        <w:tc>
          <w:tcPr/>
          <w:p>
            <w:pPr>
              <w:pStyle w:val="Compact"/>
              <w:jc w:val="left"/>
            </w:pPr>
            <w:r>
              <w:rPr>
                <w:b/>
                <w:bCs/>
              </w:rPr>
              <w:t xml:space="preserve">Total</w:t>
            </w:r>
          </w:p>
        </w:tc>
        <w:tc>
          <w:tcPr/>
          <w:p>
            <w:pPr>
              <w:pStyle w:val="Compact"/>
              <w:jc w:val="right"/>
            </w:pPr>
            <w:r>
              <w:rPr>
                <w:b/>
                <w:bCs/>
              </w:rPr>
              <w:t xml:space="preserve">2,550</w:t>
            </w:r>
          </w:p>
        </w:tc>
        <w:tc>
          <w:tcPr/>
          <w:p>
            <w:pPr>
              <w:pStyle w:val="Compact"/>
            </w:pPr>
          </w:p>
        </w:tc>
        <w:tc>
          <w:tcPr/>
          <w:p>
            <w:pPr>
              <w:pStyle w:val="Compact"/>
              <w:jc w:val="right"/>
            </w:pPr>
            <w:r>
              <w:rPr>
                <w:b/>
                <w:bCs/>
              </w:rPr>
              <w:t xml:space="preserve">0%</w:t>
            </w:r>
          </w:p>
        </w:tc>
      </w:tr>
    </w:tbl>
    <w:p/>
    <w:p>
      <w:pPr>
        <w:pStyle w:val="TableCaption"/>
      </w:pPr>
      <w:r>
        <w:t xml:space="preserve">Comparison to Baselines</w:t>
      </w:r>
    </w:p>
    <w:tbl>
      <w:tblPr>
        <w:tblStyle w:val="Table"/>
        <w:tblW w:type="auto" w:w="0"/>
        <w:tblLook w:firstRow="1" w:lastRow="0" w:firstColumn="0" w:lastColumn="0" w:noHBand="0" w:noVBand="0" w:val="0020"/>
        <w:tblCaption w:val="Comparison to Baselines"/>
      </w:tblPr>
      <w:tblGrid>
        <w:gridCol w:w="2640"/>
        <w:gridCol w:w="2640"/>
        <w:gridCol w:w="2640"/>
      </w:tblGrid>
      <w:tr>
        <w:trPr>
          <w:tblHeader w:val="on"/>
        </w:trPr>
        <w:tc>
          <w:tcPr/>
          <w:p>
            <w:pPr>
              <w:pStyle w:val="Compact"/>
              <w:jc w:val="left"/>
            </w:pPr>
            <w:r>
              <w:rPr>
                <w:b/>
                <w:bCs/>
              </w:rPr>
              <w:t xml:space="preserve">System</w:t>
            </w:r>
          </w:p>
        </w:tc>
        <w:tc>
          <w:tcPr/>
          <w:p>
            <w:pPr>
              <w:pStyle w:val="Compact"/>
              <w:jc w:val="left"/>
            </w:pPr>
            <w:r>
              <w:rPr>
                <w:b/>
                <w:bCs/>
              </w:rPr>
              <w:t xml:space="preserve">Approach</w:t>
            </w:r>
          </w:p>
        </w:tc>
        <w:tc>
          <w:tcPr/>
          <w:p>
            <w:pPr>
              <w:pStyle w:val="Compact"/>
              <w:jc w:val="right"/>
            </w:pPr>
            <w:r>
              <w:rPr>
                <w:b/>
                <w:bCs/>
              </w:rPr>
              <w:t xml:space="preserve">ASR</w:t>
            </w:r>
          </w:p>
        </w:tc>
      </w:tr>
      <w:tr>
        <w:tc>
          <w:tcPr/>
          <w:p>
            <w:pPr>
              <w:pStyle w:val="Compact"/>
              <w:jc w:val="left"/>
            </w:pPr>
            <w:r>
              <w:t xml:space="preserve">Raw Mistral Large</w:t>
            </w:r>
          </w:p>
        </w:tc>
        <w:tc>
          <w:tcPr/>
          <w:p>
            <w:pPr>
              <w:pStyle w:val="Compact"/>
              <w:jc w:val="left"/>
            </w:pPr>
            <w:r>
              <w:t xml:space="preserve">None</w:t>
            </w:r>
          </w:p>
        </w:tc>
        <w:tc>
          <w:tcPr/>
          <w:p>
            <w:pPr>
              <w:pStyle w:val="Compact"/>
              <w:jc w:val="right"/>
            </w:pPr>
            <w:r>
              <w:t xml:space="preserve">43.9%</w:t>
            </w:r>
          </w:p>
        </w:tc>
      </w:tr>
      <w:tr>
        <w:tc>
          <w:tcPr/>
          <w:p>
            <w:pPr>
              <w:pStyle w:val="Compact"/>
              <w:jc w:val="left"/>
            </w:pPr>
            <w:r>
              <w:t xml:space="preserve">+ System Prompt</w:t>
            </w:r>
          </w:p>
        </w:tc>
        <w:tc>
          <w:tcPr/>
          <w:p>
            <w:pPr>
              <w:pStyle w:val="Compact"/>
              <w:jc w:val="left"/>
            </w:pPr>
            <w:r>
              <w:t xml:space="preserve">Prompt eng.</w:t>
            </w:r>
          </w:p>
        </w:tc>
        <w:tc>
          <w:tcPr/>
          <w:p>
            <w:pPr>
              <w:pStyle w:val="Compact"/>
              <w:jc w:val="right"/>
            </w:pPr>
            <w:r>
              <w:t xml:space="preserve">3.7%</w:t>
            </w:r>
          </w:p>
        </w:tc>
      </w:tr>
      <w:tr>
        <w:tc>
          <w:tcPr/>
          <w:p>
            <w:pPr>
              <w:pStyle w:val="Compact"/>
              <w:jc w:val="left"/>
            </w:pPr>
            <w:r>
              <w:t xml:space="preserve">Constitutional AI</w:t>
            </w:r>
          </w:p>
        </w:tc>
        <w:tc>
          <w:tcPr/>
          <w:p>
            <w:pPr>
              <w:pStyle w:val="Compact"/>
              <w:jc w:val="left"/>
            </w:pPr>
            <w:r>
              <w:t xml:space="preserve">RLHF</w:t>
            </w:r>
          </w:p>
        </w:tc>
        <w:tc>
          <w:tcPr/>
          <w:p>
            <w:pPr>
              <w:pStyle w:val="Compact"/>
              <w:jc w:val="right"/>
            </w:pPr>
            <w:r>
              <w:t xml:space="preserve">3.7–8.2%</w:t>
            </w:r>
          </w:p>
        </w:tc>
      </w:tr>
      <w:tr>
        <w:tc>
          <w:tcPr/>
          <w:p>
            <w:pPr>
              <w:pStyle w:val="Compact"/>
              <w:jc w:val="left"/>
            </w:pPr>
            <w:r>
              <w:t xml:space="preserve">NeMo Guardrails</w:t>
            </w:r>
          </w:p>
        </w:tc>
        <w:tc>
          <w:tcPr/>
          <w:p>
            <w:pPr>
              <w:pStyle w:val="Compact"/>
              <w:jc w:val="left"/>
            </w:pPr>
            <w:r>
              <w:t xml:space="preserve">Colang rules</w:t>
            </w:r>
          </w:p>
        </w:tc>
        <w:tc>
          <w:tcPr/>
          <w:p>
            <w:pPr>
              <w:pStyle w:val="Compact"/>
              <w:jc w:val="right"/>
            </w:pPr>
            <w:r>
              <w:t xml:space="preserve">4.8–9.7%</w:t>
            </w:r>
          </w:p>
        </w:tc>
      </w:tr>
      <w:tr>
        <w:tc>
          <w:tcPr/>
          <w:p>
            <w:pPr>
              <w:pStyle w:val="Compact"/>
              <w:jc w:val="left"/>
            </w:pPr>
            <w:r>
              <w:t xml:space="preserve">Llama Guard</w:t>
            </w:r>
          </w:p>
        </w:tc>
        <w:tc>
          <w:tcPr/>
          <w:p>
            <w:pPr>
              <w:pStyle w:val="Compact"/>
              <w:jc w:val="left"/>
            </w:pPr>
            <w:r>
              <w:t xml:space="preserve">Classifier</w:t>
            </w:r>
          </w:p>
        </w:tc>
        <w:tc>
          <w:tcPr/>
          <w:p>
            <w:pPr>
              <w:pStyle w:val="Compact"/>
              <w:jc w:val="right"/>
            </w:pPr>
            <w:r>
              <w:t xml:space="preserve">4.4–7.3%</w:t>
            </w:r>
          </w:p>
        </w:tc>
      </w:tr>
      <w:tr>
        <w:tc>
          <w:tcPr/>
          <w:p>
            <w:pPr>
              <w:pStyle w:val="Compact"/>
              <w:jc w:val="left"/>
            </w:pPr>
            <w:r>
              <w:rPr>
                <w:b/>
                <w:bCs/>
              </w:rPr>
              <w:t xml:space="preserve">TELOS</w:t>
            </w:r>
          </w:p>
        </w:tc>
        <w:tc>
          <w:tcPr/>
          <w:p>
            <w:pPr>
              <w:pStyle w:val="Compact"/>
              <w:jc w:val="left"/>
            </w:pPr>
            <w:r>
              <w:rPr>
                <w:b/>
                <w:bCs/>
              </w:rPr>
              <w:t xml:space="preserve">PA + 3-Tier</w:t>
            </w:r>
          </w:p>
        </w:tc>
        <w:tc>
          <w:tcPr/>
          <w:p>
            <w:pPr>
              <w:pStyle w:val="Compact"/>
              <w:jc w:val="right"/>
            </w:pPr>
            <w:r>
              <w:rPr>
                <w:b/>
                <w:bCs/>
              </w:rPr>
              <w:t xml:space="preserve">0%</w:t>
            </w:r>
          </w:p>
        </w:tc>
      </w:tr>
    </w:tbl>
    <w:p>
      <w:pPr>
        <w:pStyle w:val="BodyText"/>
      </w:pPr>
      <w:r>
        <w:rPr>
          <w:b/>
          <w:bCs/>
        </w:rPr>
        <w:t xml:space="preserve">Statistical Validity:</w:t>
      </w:r>
      <w:r>
        <w:t xml:space="preserve"> </w:t>
      </w:r>
      <w:r>
        <w:t xml:space="preserve">95% CI [0%, 0.14%]. Fisher’s exact compared to baseline:</w:t>
      </w:r>
      <w:r>
        <w:t xml:space="preserve"> </w:t>
      </w:r>
      <m:oMath>
        <m:r>
          <m:t>p</m:t>
        </m:r>
        <m:r>
          <m:rPr>
            <m:sty m:val="p"/>
          </m:rPr>
          <m:t>&lt;</m:t>
        </m:r>
        <m:r>
          <m:t>0.0001</m:t>
        </m:r>
      </m:oMath>
      <w:r>
        <w:t xml:space="preserve">.</w:t>
      </w:r>
    </w:p>
    <w:p>
      <w:pPr>
        <w:pStyle w:val="BodyText"/>
      </w:pPr>
      <w:r>
        <w:rPr>
          <w:b/>
          <w:bCs/>
        </w:rPr>
        <w:t xml:space="preserve">Over-Refusal (XSTest):</w:t>
      </w:r>
      <w:r>
        <w:t xml:space="preserve"> </w:t>
      </w:r>
      <w:r>
        <w:t xml:space="preserve">A generic PA shows a 24.8% false positive rate. A healthcare-specific PA reduces this to 8.0%, ensuring strong safety without excessive restrictions.</w:t>
      </w:r>
    </w:p>
    <w:bookmarkEnd w:id="18"/>
    <w:bookmarkStart w:id="19" w:name="runtime-auditability"/>
    <w:p>
      <w:pPr>
        <w:pStyle w:val="Heading1"/>
      </w:pPr>
      <w:r>
        <w:t xml:space="preserve">Runtime Auditability</w:t>
      </w:r>
    </w:p>
    <w:p>
      <w:pPr>
        <w:pStyle w:val="FirstParagraph"/>
      </w:pPr>
      <w:r>
        <w:t xml:space="preserve">TELOS creates audit records at decision time, not afterward. Each governance event is logged as JSONL:</w:t>
      </w:r>
    </w:p>
    <w:p>
      <w:pPr>
        <w:pStyle w:val="SourceCode"/>
      </w:pPr>
      <w:r>
        <w:rPr>
          <w:rStyle w:val="VerbatimChar"/>
        </w:rPr>
        <w:t xml:space="preserve">{"event_type": "intervention",</w:t>
      </w:r>
      <w:r>
        <w:br/>
      </w:r>
      <w:r>
        <w:rPr>
          <w:rStyle w:val="VerbatimChar"/>
        </w:rPr>
        <w:t xml:space="preserve"> "timestamp": "2026-01-25T14:32:01Z",</w:t>
      </w:r>
      <w:r>
        <w:br/>
      </w:r>
      <w:r>
        <w:rPr>
          <w:rStyle w:val="VerbatimChar"/>
        </w:rPr>
        <w:t xml:space="preserve"> "fidelity": 0.156, "tier": 1,</w:t>
      </w:r>
      <w:r>
        <w:br/>
      </w:r>
      <w:r>
        <w:rPr>
          <w:rStyle w:val="VerbatimChar"/>
        </w:rPr>
        <w:t xml:space="preserve"> "action": "BLOCK"}</w:t>
      </w:r>
    </w:p>
    <w:p>
      <w:pPr>
        <w:pStyle w:val="FirstParagraph"/>
      </w:pPr>
      <w:r>
        <w:t xml:space="preserve">This addresses EU AI Act Articles 12/72, HIPAA Security Rule, and ISO 27001.</w:t>
      </w:r>
    </w:p>
    <w:bookmarkEnd w:id="19"/>
    <w:bookmarkStart w:id="20" w:name="related-work"/>
    <w:p>
      <w:pPr>
        <w:pStyle w:val="Heading1"/>
      </w:pPr>
      <w:r>
        <w:t xml:space="preserve">Related Work</w:t>
      </w:r>
    </w:p>
    <w:p>
      <w:pPr>
        <w:pStyle w:val="FirstParagraph"/>
      </w:pPr>
      <w:r>
        <w:t xml:space="preserve">Constitutional AI </w:t>
      </w:r>
      <w:r>
        <w:t xml:space="preserve"> </w:t>
      </w:r>
      <w:r>
        <w:t xml:space="preserve">embeds constraints in weights during training but still faces vulnerabilities to jailbreaks </w:t>
      </w:r>
      <w:r>
        <w:t xml:space="preserve">. NeMo Guardrails </w:t>
      </w:r>
      <w:r>
        <w:t xml:space="preserve"> </w:t>
      </w:r>
      <w:r>
        <w:t xml:space="preserve">and Llama Guard </w:t>
      </w:r>
      <w:r>
        <w:t xml:space="preserve"> </w:t>
      </w:r>
      <w:r>
        <w:t xml:space="preserve">use rule-based or classifier methods with residual ASR of 4–10%. TELOS is different because it has an external governance layer with mathematical enforcement, not just weight modification or pattern matching.</w:t>
      </w:r>
    </w:p>
    <w:bookmarkEnd w:id="20"/>
    <w:bookmarkStart w:id="21" w:name="limitations"/>
    <w:p>
      <w:pPr>
        <w:pStyle w:val="Heading1"/>
      </w:pPr>
      <w:r>
        <w:t xml:space="preserve">Limitations</w:t>
      </w:r>
    </w:p>
    <w:p>
      <w:pPr>
        <w:numPr>
          <w:ilvl w:val="0"/>
          <w:numId w:val="1003"/>
        </w:numPr>
      </w:pPr>
      <w:r>
        <w:rPr>
          <w:b/>
          <w:bCs/>
        </w:rPr>
        <w:t xml:space="preserve">Model coverage:</w:t>
      </w:r>
      <w:r>
        <w:t xml:space="preserve"> </w:t>
      </w:r>
      <w:r>
        <w:t xml:space="preserve">Validated on Mistral only. GPT-4, Claude, and Llama have not been tested.</w:t>
      </w:r>
    </w:p>
    <w:p>
      <w:pPr>
        <w:numPr>
          <w:ilvl w:val="0"/>
          <w:numId w:val="1003"/>
        </w:numPr>
      </w:pPr>
      <w:r>
        <w:rPr>
          <w:b/>
          <w:bCs/>
        </w:rPr>
        <w:t xml:space="preserve">Threat model:</w:t>
      </w:r>
      <w:r>
        <w:t xml:space="preserve"> </w:t>
      </w:r>
      <w:r>
        <w:t xml:space="preserve">Black-box only. Adaptive or white-box attacks have not been tested.</w:t>
      </w:r>
    </w:p>
    <w:p>
      <w:pPr>
        <w:numPr>
          <w:ilvl w:val="0"/>
          <w:numId w:val="1003"/>
        </w:numPr>
      </w:pPr>
      <w:r>
        <w:rPr>
          <w:b/>
          <w:bCs/>
        </w:rPr>
        <w:t xml:space="preserve">Language:</w:t>
      </w:r>
      <w:r>
        <w:t xml:space="preserve"> </w:t>
      </w:r>
      <w:r>
        <w:t xml:space="preserve">English only. Cross-lingual attacks are out of scope.</w:t>
      </w:r>
    </w:p>
    <w:p>
      <w:pPr>
        <w:numPr>
          <w:ilvl w:val="0"/>
          <w:numId w:val="1003"/>
        </w:numPr>
      </w:pPr>
      <w:r>
        <w:rPr>
          <w:b/>
          <w:bCs/>
        </w:rPr>
        <w:t xml:space="preserve">Modality:</w:t>
      </w:r>
      <w:r>
        <w:t xml:space="preserve"> </w:t>
      </w:r>
      <w:r>
        <w:t xml:space="preserve">Text only. Image-based jailbreaks have not been tested.</w:t>
      </w:r>
    </w:p>
    <w:p>
      <w:pPr>
        <w:pStyle w:val="FirstParagraph"/>
      </w:pPr>
      <w:r>
        <w:t xml:space="preserve">Expanding model and language coverage is the immediate research priority.</w:t>
      </w:r>
    </w:p>
    <w:bookmarkEnd w:id="21"/>
    <w:bookmarkStart w:id="22" w:name="conclusion"/>
    <w:p>
      <w:pPr>
        <w:pStyle w:val="Heading1"/>
      </w:pPr>
      <w:r>
        <w:t xml:space="preserve">Conclusion</w:t>
      </w:r>
    </w:p>
    <w:p>
      <w:pPr>
        <w:pStyle w:val="FirstParagraph"/>
      </w:pPr>
      <w:r>
        <w:t xml:space="preserve">TELOS achieves 0% ASR across 2,550 attacks (95% CI: [0%, 0.14%]) through mathematical enforcement in embedding space. XSTest validation shows an 8.0% false positive rate with domain-specific configuration.</w:t>
      </w:r>
    </w:p>
    <w:p>
      <w:pPr>
        <w:pStyle w:val="BodyText"/>
      </w:pPr>
      <w:r>
        <w:rPr>
          <w:b/>
          <w:bCs/>
        </w:rPr>
        <w:t xml:space="preserve">Reproducibility:</w:t>
      </w:r>
      <w:r>
        <w:t xml:space="preserve"> </w:t>
      </w:r>
      <w:r>
        <w:t xml:space="preserve">Code, data, and validation scripts can be found at</w:t>
      </w:r>
      <w:r>
        <w:t xml:space="preserve"> </w:t>
      </w:r>
      <w:hyperlink r:id="rId9">
        <w:r>
          <w:rPr>
            <w:rStyle w:val="Hyperlink"/>
          </w:rPr>
          <w:t xml:space="preserve">github.com/TelosSteward/TELOS</w:t>
        </w:r>
      </w:hyperlink>
      <w:r>
        <w:t xml:space="preserve">. All validation datasets published on Zenodo:</w:t>
      </w:r>
    </w:p>
    <w:p>
      <w:pPr>
        <w:numPr>
          <w:ilvl w:val="0"/>
          <w:numId w:val="1004"/>
        </w:numPr>
      </w:pPr>
      <w:r>
        <w:t xml:space="preserve">AILuminate (1,200): 10.5281/zenodo.18370263</w:t>
      </w:r>
    </w:p>
    <w:p>
      <w:pPr>
        <w:numPr>
          <w:ilvl w:val="0"/>
          <w:numId w:val="1004"/>
        </w:numPr>
      </w:pPr>
      <w:r>
        <w:t xml:space="preserve">Adversarial (HarmBench 400 + MedSafetyBench 900): 10.5281/zenodo.18370659</w:t>
      </w:r>
    </w:p>
    <w:p>
      <w:pPr>
        <w:numPr>
          <w:ilvl w:val="0"/>
          <w:numId w:val="1004"/>
        </w:numPr>
      </w:pPr>
      <w:r>
        <w:t xml:space="preserve">Governance Benchmark (46 sessions): 10.5281/zenodo.18009153</w:t>
      </w:r>
    </w:p>
    <w:p>
      <w:pPr>
        <w:numPr>
          <w:ilvl w:val="0"/>
          <w:numId w:val="1004"/>
        </w:numPr>
      </w:pPr>
      <w:r>
        <w:t xml:space="preserve">SB 243 Child Safety (50): 10.5281/zenodo.18370504</w:t>
      </w:r>
    </w:p>
    <w:p>
      <w:pPr>
        <w:numPr>
          <w:ilvl w:val="0"/>
          <w:numId w:val="1004"/>
        </w:numPr>
      </w:pPr>
      <w:r>
        <w:t xml:space="preserve">XSTest Over-Refusal (250): 10.5281/zenodo.18370603</w:t>
      </w:r>
    </w:p>
    <w:bookmarkEnd w:id="22"/>
    <w:bookmarkStart w:id="23" w:name="X38b40c67b8b9eb63161ba237300a5991fdd921b"/>
    <w:p>
      <w:pPr>
        <w:pStyle w:val="Heading1"/>
      </w:pPr>
      <w:r>
        <w:t xml:space="preserve">Primacy Attractors vs. Prompt Engineering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Prompt Eng.</w:t>
            </w:r>
          </w:p>
        </w:tc>
        <w:tc>
          <w:tcPr/>
          <w:p>
            <w:pPr>
              <w:pStyle w:val="Compact"/>
              <w:jc w:val="left"/>
            </w:pPr>
            <w:r>
              <w:rPr>
                <w:b/>
                <w:bCs/>
              </w:rPr>
              <w:t xml:space="preserve">Primacy Attractor</w:t>
            </w:r>
          </w:p>
        </w:tc>
      </w:tr>
      <w:tr>
        <w:tc>
          <w:tcPr/>
          <w:p>
            <w:pPr>
              <w:pStyle w:val="Compact"/>
              <w:jc w:val="left"/>
            </w:pPr>
            <w:r>
              <w:t xml:space="preserve">Representation</w:t>
            </w:r>
          </w:p>
        </w:tc>
        <w:tc>
          <w:tcPr/>
          <w:p>
            <w:pPr>
              <w:pStyle w:val="Compact"/>
              <w:jc w:val="left"/>
            </w:pPr>
            <w:r>
              <w:t xml:space="preserve">Natural language</w:t>
            </w:r>
          </w:p>
        </w:tc>
        <w:tc>
          <w:tcPr/>
          <w:p>
            <w:pPr>
              <w:pStyle w:val="Compact"/>
              <w:jc w:val="left"/>
            </w:pPr>
            <w:r>
              <w:t xml:space="preserve">1024-dim vectors</w:t>
            </w:r>
          </w:p>
        </w:tc>
      </w:tr>
      <w:tr>
        <w:tc>
          <w:tcPr/>
          <w:p>
            <w:pPr>
              <w:pStyle w:val="Compact"/>
              <w:jc w:val="left"/>
            </w:pPr>
            <w:r>
              <w:t xml:space="preserve">Enforcement</w:t>
            </w:r>
          </w:p>
        </w:tc>
        <w:tc>
          <w:tcPr/>
          <w:p>
            <w:pPr>
              <w:pStyle w:val="Compact"/>
              <w:jc w:val="left"/>
            </w:pPr>
            <w:r>
              <w:t xml:space="preserve">Model may ignore</w:t>
            </w:r>
          </w:p>
        </w:tc>
        <w:tc>
          <w:tcPr/>
          <w:p>
            <w:pPr>
              <w:pStyle w:val="Compact"/>
              <w:jc w:val="left"/>
            </w:pPr>
            <w:r>
              <w:t xml:space="preserve">Mathematical similarity</w:t>
            </w:r>
          </w:p>
        </w:tc>
      </w:tr>
      <w:tr>
        <w:tc>
          <w:tcPr/>
          <w:p>
            <w:pPr>
              <w:pStyle w:val="Compact"/>
              <w:jc w:val="left"/>
            </w:pPr>
            <w:r>
              <w:t xml:space="preserve">Position</w:t>
            </w:r>
          </w:p>
        </w:tc>
        <w:tc>
          <w:tcPr/>
          <w:p>
            <w:pPr>
              <w:pStyle w:val="Compact"/>
              <w:jc w:val="left"/>
            </w:pPr>
            <w:r>
              <w:t xml:space="preserve">Degrades w/ context</w:t>
            </w:r>
          </w:p>
        </w:tc>
        <w:tc>
          <w:tcPr/>
          <w:p>
            <w:pPr>
              <w:pStyle w:val="Compact"/>
              <w:jc w:val="left"/>
            </w:pPr>
            <w:r>
              <w:t xml:space="preserve">Position-invariant</w:t>
            </w:r>
          </w:p>
        </w:tc>
      </w:tr>
      <w:tr>
        <w:tc>
          <w:tcPr/>
          <w:p>
            <w:pPr>
              <w:pStyle w:val="Compact"/>
              <w:jc w:val="left"/>
            </w:pPr>
            <w:r>
              <w:t xml:space="preserve">Adversarial</w:t>
            </w:r>
          </w:p>
        </w:tc>
        <w:tc>
          <w:tcPr/>
          <w:p>
            <w:pPr>
              <w:pStyle w:val="Compact"/>
              <w:jc w:val="left"/>
            </w:pPr>
            <w:r>
              <w:t xml:space="preserve">Injection vulnerable</w:t>
            </w:r>
          </w:p>
        </w:tc>
        <w:tc>
          <w:tcPr/>
          <w:p>
            <w:pPr>
              <w:pStyle w:val="Compact"/>
              <w:jc w:val="left"/>
            </w:pPr>
            <w:r>
              <w:t xml:space="preserve">Geometric</w:t>
            </w:r>
          </w:p>
        </w:tc>
      </w:tr>
      <w:tr>
        <w:tc>
          <w:tcPr/>
          <w:p>
            <w:pPr>
              <w:pStyle w:val="Compact"/>
              <w:jc w:val="left"/>
            </w:pPr>
            <w:r>
              <w:t xml:space="preserve">Auditability</w:t>
            </w:r>
          </w:p>
        </w:tc>
        <w:tc>
          <w:tcPr/>
          <w:p>
            <w:pPr>
              <w:pStyle w:val="Compact"/>
              <w:jc w:val="left"/>
            </w:pPr>
            <w:r>
              <w:t xml:space="preserve">No trace</w:t>
            </w:r>
          </w:p>
        </w:tc>
        <w:tc>
          <w:tcPr/>
          <w:p>
            <w:pPr>
              <w:pStyle w:val="Compact"/>
              <w:jc w:val="left"/>
            </w:pPr>
            <w:r>
              <w:t xml:space="preserve">Fidelity score/turn</w:t>
            </w:r>
          </w:p>
        </w:tc>
      </w:tr>
    </w:tbl>
    <w:p>
      <w:pPr>
        <w:pStyle w:val="BodyText"/>
      </w:pPr>
      <w:r>
        <w:t xml:space="preserve">9</w:t>
      </w:r>
    </w:p>
    <w:p>
      <w:pPr>
        <w:pStyle w:val="BodyText"/>
      </w:pPr>
      <w:r>
        <w:t xml:space="preserve">Liu, N. F., et al.</w:t>
      </w:r>
      <w:r>
        <w:t xml:space="preserve"> </w:t>
      </w:r>
      <w:r>
        <w:t xml:space="preserve">Lost in the Middle: How Language Models Use Long Contexts.</w:t>
      </w:r>
      <w:r>
        <w:t xml:space="preserve"> </w:t>
      </w:r>
      <w:r>
        <w:rPr>
          <w:i/>
          <w:iCs/>
        </w:rPr>
        <w:t xml:space="preserve">TACL</w:t>
      </w:r>
      <w:r>
        <w:t xml:space="preserve">, 2024.</w:t>
      </w:r>
    </w:p>
    <w:p>
      <w:pPr>
        <w:pStyle w:val="BodyText"/>
      </w:pPr>
      <w:r>
        <w:t xml:space="preserve">Bai, Y., et al.</w:t>
      </w:r>
      <w:r>
        <w:t xml:space="preserve"> </w:t>
      </w:r>
      <w:r>
        <w:t xml:space="preserve">Constitutional AI: Harmlessness from AI Feedback.</w:t>
      </w:r>
      <w:r>
        <w:t xml:space="preserve"> </w:t>
      </w:r>
      <w:r>
        <w:rPr>
          <w:i/>
          <w:iCs/>
        </w:rPr>
        <w:t xml:space="preserve">arXiv:2212.08073</w:t>
      </w:r>
      <w:r>
        <w:t xml:space="preserve">, 2022.</w:t>
      </w:r>
    </w:p>
    <w:p>
      <w:pPr>
        <w:pStyle w:val="BodyText"/>
      </w:pPr>
      <w:r>
        <w:t xml:space="preserve">Wei, A., Haghtalab, N., Steinhardt, J.</w:t>
      </w:r>
      <w:r>
        <w:t xml:space="preserve"> </w:t>
      </w:r>
      <w:r>
        <w:t xml:space="preserve">Jailbroken: How Does LLM Safety Training Fail?</w:t>
      </w:r>
      <w:r>
        <w:t xml:space="preserve"> </w:t>
      </w:r>
      <w:r>
        <w:rPr>
          <w:i/>
          <w:iCs/>
        </w:rPr>
        <w:t xml:space="preserve">NeurIPS</w:t>
      </w:r>
      <w:r>
        <w:t xml:space="preserve">, 2023.</w:t>
      </w:r>
    </w:p>
    <w:p>
      <w:pPr>
        <w:pStyle w:val="BodyText"/>
      </w:pPr>
      <w:r>
        <w:t xml:space="preserve">Rebedea, T., et al.</w:t>
      </w:r>
      <w:r>
        <w:t xml:space="preserve"> </w:t>
      </w:r>
      <w:r>
        <w:t xml:space="preserve">NeMo Guardrails: Controllable and Safe LLM Applications.</w:t>
      </w:r>
      <w:r>
        <w:t xml:space="preserve"> </w:t>
      </w:r>
      <w:r>
        <w:rPr>
          <w:i/>
          <w:iCs/>
        </w:rPr>
        <w:t xml:space="preserve">arXiv:2310.10501</w:t>
      </w:r>
      <w:r>
        <w:t xml:space="preserve">, 2023.</w:t>
      </w:r>
    </w:p>
    <w:p>
      <w:pPr>
        <w:pStyle w:val="BodyText"/>
      </w:pPr>
      <w:r>
        <w:t xml:space="preserve">Inan, H., et al.</w:t>
      </w:r>
      <w:r>
        <w:t xml:space="preserve"> </w:t>
      </w:r>
      <w:r>
        <w:t xml:space="preserve">Llama Guard: LLM-based Input-Output Safeguard.</w:t>
      </w:r>
      <w:r>
        <w:t xml:space="preserve"> </w:t>
      </w:r>
      <w:r>
        <w:rPr>
          <w:i/>
          <w:iCs/>
        </w:rPr>
        <w:t xml:space="preserve">arXiv:2312.06674</w:t>
      </w:r>
      <w:r>
        <w:t xml:space="preserve">, 2023.</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df" /><Relationship Type="http://schemas.openxmlformats.org/officeDocument/2006/relationships/hyperlink" Id="rId9" Target="github.com/TelosSteward/TELOS" TargetMode="External" /></Relationships>
</file>

<file path=word/_rels/footnotes.xml.rels><?xml version="1.0" encoding="UTF-8"?><Relationships xmlns="http://schemas.openxmlformats.org/package/2006/relationships"><Relationship Type="http://schemas.openxmlformats.org/officeDocument/2006/relationships/hyperlink" Id="rId9" Target="github.com/TelosSteward/TEL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TELOS: Mathematical Enforcement of AI Constitutional Boundaries</dc:title>
  <dc:creator>Jeffrey Brunner TELOS AI Labs Inc.</dc:creator>
  <cp:keywords/>
  <dcterms:created xsi:type="dcterms:W3CDTF">2026-01-27T16:51:22Z</dcterms:created>
  <dcterms:modified xsi:type="dcterms:W3CDTF">2026-01-27T16:51:22Z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TELOS, a runtime AI governance system that achieves a 0% Attack Success Rate across 2,550 adversarial attacks (95% CI: [0%, 0.14%]). Current systems accept violation rates of 3.7% to 43.9% as unavoidable. TELOS uses fixed reference points in embedding space (Primacy Attractors) with a three-tier defense system: mathematical enforcement, policy retrieval, and human escalation. Validation includes AILuminate (1,200), HarmBench (400), MedSafetyBench (900), and SB 243 (50). XSTest shows that domain-specific configuration reduces over-refusal from 24.8% to 8.0%. Code and data: github.com/TelosSteward/TELOS</vt:lpwstr>
  </property>
  <property fmtid="{D5CDD505-2E9C-101B-9397-08002B2CF9AE}" pid="3" name="date">
    <vt:lpwstr>January 2026</vt:lpwstr>
  </property>
</Properties>
</file>