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X81467ef4f3844c2fa808b6f0dfa143252afdce0"/>
    <w:p>
      <w:pPr>
        <w:pStyle w:val="Heading1"/>
      </w:pPr>
      <w:r>
        <w:t xml:space="preserve">Quality Systems Regulation for AI: A Control-Engineering Approach</w:t>
      </w:r>
    </w:p>
    <w:p>
      <w:pPr>
        <w:pStyle w:val="FirstParagraph"/>
      </w:pPr>
      <w:r>
        <w:rPr>
          <w:bCs/>
          <w:b/>
        </w:rPr>
        <w:t xml:space="preserve">TELOS Framework Whitepaper</w:t>
      </w:r>
      <w:r>
        <w:br/>
      </w:r>
      <w:r>
        <w:rPr>
          <w:bCs/>
          <w:b/>
        </w:rPr>
        <w:t xml:space="preserve">Version 2.2 - November 2024</w:t>
      </w:r>
      <w:r>
        <w:br/>
      </w:r>
      <w:r>
        <w:rPr>
          <w:bCs/>
          <w:b/>
        </w:rPr>
        <w:t xml:space="preserve">Status: Dual PA Architecture Validated</w:t>
      </w:r>
    </w:p>
    <w:p>
      <w:r>
        <w:pict>
          <v:rect style="width:0;height:1.5pt" o:hralign="center" o:hrstd="t" o:hr="t"/>
        </w:pict>
      </w:r>
    </w:p>
    <w:bookmarkStart w:id="20" w:name="abstract"/>
    <w:p>
      <w:pPr>
        <w:pStyle w:val="Heading2"/>
      </w:pPr>
      <w:r>
        <w:t xml:space="preserve">Abstract</w:t>
      </w:r>
    </w:p>
    <w:p>
      <w:pPr>
        <w:pStyle w:val="FirstParagraph"/>
      </w:pPr>
      <w:r>
        <w:t xml:space="preserve">Artificial intelligence systems now operate as persistent decision engines across critical domains, yet governance remains externally imposed and largely heuristic. The TELOS framework—Telically Entrained Linguistic Operational Substrate—proposes a solution rooted in established control-engineering and quality-systems theory. TELOS functions as a Mathematical Intervention Layer implementing Proportional Control and Attractor Dynamics within semantic space, transforming purpose adherence into a measurable and self-correcting process.</w:t>
      </w:r>
    </w:p>
    <w:p>
      <w:pPr>
        <w:pStyle w:val="BodyText"/>
      </w:pPr>
      <w:r>
        <w:t xml:space="preserve">Each conversational cycle follows a computational realization of the DMAIC methodology: Declare the purpose vector (Define), Measure semantic drift as deviation from the Primacy Attractor, Recalibrate through proportional control (Analyze/Improve), Stabilize within tolerance limits, and Monitor for continuous capability assurance (Control). The resulting feedback loop constitutes a form of Statistical Process Control (SPC) for cognition—tracking error signals, applying scaled corrections, and maintaining variance within defined limits.</w:t>
      </w:r>
    </w:p>
    <w:p>
      <w:pPr>
        <w:pStyle w:val="BodyText"/>
      </w:pPr>
      <w:r>
        <w:t xml:space="preserve">This architecture extends the principles codified in Quality Systems Regulation (QSR) and ISO 9001/13485, satisfying mandates for continuous monitoring, documented corrective action, and verifiable process control. Each interaction is treated as a process event with measurable deviation, intervention, and stabilization. Telemetry records create a complete audit trail, allowing post-market validation and regulatory compliance with frameworks such as the EU AI Act Article 72, which requires active, systematic runtime monitoring.</w:t>
      </w:r>
    </w:p>
    <w:p>
      <w:pPr>
        <w:pStyle w:val="BodyText"/>
      </w:pPr>
      <w:r>
        <w:t xml:space="preserve">Mathematically, TELOS integrates proportional control (operational mechanism) with attractor dynamics (stability description), creating a dual formalism in which the declared purpose vector serves as a stable equilibrium in high-dimensional semantic space. Drift from this equilibrium is treated as process variation, and proportional feedback F = K·e_t provides continuous recalibration toward the Primacy Basin. Over time, the system approaches a telically entrained Primacy State, characterized by statistical stability, reduced variance, and sustained purpose fidelity.</w:t>
      </w:r>
    </w:p>
    <w:p>
      <w:pPr>
        <w:pStyle w:val="BodyText"/>
      </w:pPr>
      <w:r>
        <w:rPr>
          <w:bCs/>
          <w:b/>
        </w:rPr>
        <w:t xml:space="preserve">UPDATE (November 2024)</w:t>
      </w:r>
      <w:r>
        <w:t xml:space="preserve">: Initial validation studies have been completed using dual Primacy Attractor architecture. Results from 46 real-world conversations demonstrate</w:t>
      </w:r>
      <w:r>
        <w:t xml:space="preserve"> </w:t>
      </w:r>
      <w:r>
        <w:rPr>
          <w:bCs/>
          <w:b/>
        </w:rPr>
        <w:t xml:space="preserve">+85.32% improvement</w:t>
      </w:r>
      <w:r>
        <w:t xml:space="preserve"> </w:t>
      </w:r>
      <w:r>
        <w:t xml:space="preserve">in purpose alignment over single-attractor baseline. This includes perfect 1.0000 fidelity scores across a 51-turn conversation that originally exhibited drift (the scenario that motivated TELOS development). These results validate the mathematical framework’s core predictions while clarifying the distinction between:</w:t>
      </w:r>
    </w:p>
    <w:p>
      <w:pPr>
        <w:numPr>
          <w:ilvl w:val="0"/>
          <w:numId w:val="1001"/>
        </w:numPr>
        <w:pStyle w:val="Compact"/>
      </w:pPr>
      <w:r>
        <w:rPr>
          <w:bCs/>
          <w:b/>
        </w:rPr>
        <w:t xml:space="preserve">Counterfactual validation</w:t>
      </w:r>
      <w:r>
        <w:t xml:space="preserve"> </w:t>
      </w:r>
      <w:r>
        <w:t xml:space="preserve">(architecture effectiveness - VALIDATED)</w:t>
      </w:r>
    </w:p>
    <w:p>
      <w:pPr>
        <w:numPr>
          <w:ilvl w:val="0"/>
          <w:numId w:val="1001"/>
        </w:numPr>
        <w:pStyle w:val="Compact"/>
      </w:pPr>
      <w:r>
        <w:rPr>
          <w:bCs/>
          <w:b/>
        </w:rPr>
        <w:t xml:space="preserve">Runtime intervention validation</w:t>
      </w:r>
      <w:r>
        <w:t xml:space="preserve"> </w:t>
      </w:r>
      <w:r>
        <w:t xml:space="preserve">(MBL correction effectiveness - REQUIRES LIVE TESTING)</w:t>
      </w:r>
    </w:p>
    <w:p>
      <w:pPr>
        <w:pStyle w:val="FirstParagraph"/>
      </w:pPr>
      <w:r>
        <w:t xml:space="preserve">See Section 2.3</w:t>
      </w:r>
      <w:r>
        <w:t xml:space="preserve"> </w:t>
      </w:r>
      <w:r>
        <w:t xml:space="preserve">“</w:t>
      </w:r>
      <w:r>
        <w:t xml:space="preserve">Dual Primacy Attractor Architecture</w:t>
      </w:r>
      <w:r>
        <w:t xml:space="preserve">”</w:t>
      </w:r>
      <w:r>
        <w:t xml:space="preserve"> </w:t>
      </w:r>
      <w:r>
        <w:t xml:space="preserve">and Appendix D</w:t>
      </w:r>
      <w:r>
        <w:t xml:space="preserve"> </w:t>
      </w:r>
      <w:r>
        <w:t xml:space="preserve">“</w:t>
      </w:r>
      <w:r>
        <w:t xml:space="preserve">v1.0.0-dual-pa-canonical Results</w:t>
      </w:r>
      <w:r>
        <w:t xml:space="preserve">”</w:t>
      </w:r>
      <w:r>
        <w:t xml:space="preserve"> </w:t>
      </w:r>
      <w:r>
        <w:t xml:space="preserve">for complete methodology and findings.</w:t>
      </w:r>
    </w:p>
    <w:p>
      <w:pPr>
        <w:pStyle w:val="BodyText"/>
      </w:pPr>
      <w:r>
        <w:t xml:space="preserve">By embedding Lean Six Sigma’s DMAIC methodology directly into runtime mechanics, TELOS extends Quality Systems Regulation—proven in manufacturing (ISO 9001), medical devices (21 CFR Part 820), and process industries—into semantic systems. It demonstrates that alignment—the persistence of intended behavior over time—can be expressed as a quantitative property of a self-regulating system governed by the same continuous-improvement discipline that sustains industrial quality control.</w:t>
      </w:r>
    </w:p>
    <w:p>
      <w:pPr>
        <w:pStyle w:val="BodyText"/>
      </w:pPr>
      <w:r>
        <w:t xml:space="preserve">We are building the measurement infrastructure that regulatory frameworks will require. This whitepaper documents what we have built, why it matters, and how we will validate whether it works.</w:t>
      </w:r>
    </w:p>
    <w:p>
      <w:r>
        <w:pict>
          <v:rect style="width:0;height:1.5pt" o:hralign="center" o:hrstd="t" o:hr="t"/>
        </w:pict>
      </w:r>
    </w:p>
    <w:bookmarkEnd w:id="20"/>
    <w:bookmarkStart w:id="30" w:name="X32fc07867516e45fa8ab2474d6bf121ee1f7f23"/>
    <w:p>
      <w:pPr>
        <w:pStyle w:val="Heading2"/>
      </w:pPr>
      <w:r>
        <w:t xml:space="preserve">1. The Governance Crisis: Why Alignment Fails and What Regulators Require</w:t>
      </w:r>
    </w:p>
    <w:bookmarkStart w:id="21" w:name="X136782e066e18f465ad01df708b3c1752a8aa43"/>
    <w:p>
      <w:pPr>
        <w:pStyle w:val="Heading3"/>
      </w:pPr>
      <w:r>
        <w:t xml:space="preserve">1.1 The Persistence Problem Is Not Hypothetical</w:t>
      </w:r>
    </w:p>
    <w:p>
      <w:pPr>
        <w:pStyle w:val="FirstParagraph"/>
      </w:pPr>
      <w:r>
        <w:t xml:space="preserve">Large language models do not maintain alignment reliably across multi-turn interactions. This is not speculation—it is documented, measured, and reproducible:</w:t>
      </w:r>
    </w:p>
    <w:p>
      <w:pPr>
        <w:pStyle w:val="BodyText"/>
      </w:pPr>
      <w:r>
        <w:rPr>
          <w:bCs/>
          <w:b/>
        </w:rPr>
        <w:t xml:space="preserve">Laban et al. (2025)</w:t>
      </w:r>
      <w:r>
        <w:t xml:space="preserve">:</w:t>
      </w:r>
      <w:r>
        <w:t xml:space="preserve"> </w:t>
      </w:r>
      <w:r>
        <w:t xml:space="preserve">“</w:t>
      </w:r>
      <w:r>
        <w:t xml:space="preserve">LLMs Get Lost in Multi-Turn Conversation</w:t>
      </w:r>
      <w:r>
        <w:t xml:space="preserve">”</w:t>
      </w:r>
      <w:r>
        <w:t xml:space="preserve"> </w:t>
      </w:r>
      <w:r>
        <w:t xml:space="preserve">- Microsoft and Salesforce researchers demonstrate systematic degradation, with models losing track of instructions, violating declared boundaries, and forcing users into constant re-correction.</w:t>
      </w:r>
    </w:p>
    <w:p>
      <w:pPr>
        <w:pStyle w:val="BodyText"/>
      </w:pPr>
      <w:r>
        <w:rPr>
          <w:bCs/>
          <w:b/>
        </w:rPr>
        <w:t xml:space="preserve">Liu et al. (2024)</w:t>
      </w:r>
      <w:r>
        <w:t xml:space="preserve">:</w:t>
      </w:r>
      <w:r>
        <w:t xml:space="preserve"> </w:t>
      </w:r>
      <w:r>
        <w:t xml:space="preserve">“</w:t>
      </w:r>
      <w:r>
        <w:t xml:space="preserve">Lost in the Middle</w:t>
      </w:r>
      <w:r>
        <w:t xml:space="preserve">”</w:t>
      </w:r>
      <w:r>
        <w:t xml:space="preserve"> </w:t>
      </w:r>
      <w:r>
        <w:t xml:space="preserve">- Transformers exhibit predictable attention decay. Information in middle contexts loses salience. Early instructions erode as conversations extend beyond 20-30 turns.</w:t>
      </w:r>
    </w:p>
    <w:p>
      <w:pPr>
        <w:pStyle w:val="BodyText"/>
      </w:pPr>
      <w:r>
        <w:rPr>
          <w:bCs/>
          <w:b/>
        </w:rPr>
        <w:t xml:space="preserve">Wu et al. (2025)</w:t>
      </w:r>
      <w:r>
        <w:t xml:space="preserve">:</w:t>
      </w:r>
      <w:r>
        <w:t xml:space="preserve"> </w:t>
      </w:r>
      <w:r>
        <w:t xml:space="preserve">“</w:t>
      </w:r>
      <w:r>
        <w:t xml:space="preserve">Position Bias in Transformers</w:t>
      </w:r>
      <w:r>
        <w:t xml:space="preserve">”</w:t>
      </w:r>
      <w:r>
        <w:t xml:space="preserve"> </w:t>
      </w:r>
      <w:r>
        <w:t xml:space="preserve">- Models exhibit primacy bias where early tokens exert disproportionate influence initially but decay over time, exactly mirroring cognitive phenomena documented in human memory (Murdock, 1962).</w:t>
      </w:r>
    </w:p>
    <w:p>
      <w:pPr>
        <w:pStyle w:val="BodyText"/>
      </w:pPr>
      <w:r>
        <w:rPr>
          <w:bCs/>
          <w:b/>
        </w:rPr>
        <w:t xml:space="preserve">Gu et al. (2024)</w:t>
      </w:r>
      <w:r>
        <w:t xml:space="preserve">:</w:t>
      </w:r>
      <w:r>
        <w:t xml:space="preserve"> </w:t>
      </w:r>
      <w:r>
        <w:t xml:space="preserve">“</w:t>
      </w:r>
      <w:r>
        <w:t xml:space="preserve">When Attention Sink Emerges</w:t>
      </w:r>
      <w:r>
        <w:t xml:space="preserve">”</w:t>
      </w:r>
      <w:r>
        <w:t xml:space="preserve"> </w:t>
      </w:r>
      <w:r>
        <w:t xml:space="preserve">- Attention mechanisms create</w:t>
      </w:r>
      <w:r>
        <w:t xml:space="preserve"> </w:t>
      </w:r>
      <w:r>
        <w:t xml:space="preserve">“</w:t>
      </w:r>
      <w:r>
        <w:t xml:space="preserve">sinks</w:t>
      </w:r>
      <w:r>
        <w:t xml:space="preserve">”</w:t>
      </w:r>
      <w:r>
        <w:t xml:space="preserve"> </w:t>
      </w:r>
      <w:r>
        <w:t xml:space="preserve">that capture focus disproportionately, redistributing attention away from governance-critical instructions.</w:t>
      </w:r>
    </w:p>
    <w:p>
      <w:pPr>
        <w:pStyle w:val="BodyText"/>
      </w:pPr>
      <w:r>
        <w:t xml:space="preserve">The measured degradation:</w:t>
      </w:r>
      <w:r>
        <w:t xml:space="preserve"> </w:t>
      </w:r>
      <w:r>
        <w:rPr>
          <w:bCs/>
          <w:b/>
        </w:rPr>
        <w:t xml:space="preserve">20-40% reliability loss</w:t>
      </w:r>
      <w:r>
        <w:t xml:space="preserve"> </w:t>
      </w:r>
      <w:r>
        <w:t xml:space="preserve">across extended dialogues.</w:t>
      </w:r>
    </w:p>
    <w:p>
      <w:pPr>
        <w:pStyle w:val="BodyText"/>
      </w:pPr>
      <w:r>
        <w:t xml:space="preserve">This is not a future problem to be solved. It is happening now, in production systems, across every major provider. Users experience it as frustration:</w:t>
      </w:r>
      <w:r>
        <w:t xml:space="preserve"> </w:t>
      </w:r>
      <w:r>
        <w:t xml:space="preserve">“</w:t>
      </w:r>
      <w:r>
        <w:t xml:space="preserve">I already told you not to do that.</w:t>
      </w:r>
      <w:r>
        <w:t xml:space="preserve">”</w:t>
      </w:r>
      <w:r>
        <w:t xml:space="preserve"> </w:t>
      </w:r>
      <w:r>
        <w:t xml:space="preserve">Enterprises experience it as compliance risk: governance constraints that were declared at session start silently erode by turn 30.</w:t>
      </w:r>
    </w:p>
    <w:bookmarkEnd w:id="21"/>
    <w:bookmarkStart w:id="22" w:name="real-world-consequences"/>
    <w:p>
      <w:pPr>
        <w:pStyle w:val="Heading3"/>
      </w:pPr>
      <w:r>
        <w:t xml:space="preserve">1.2 Real-World Consequences</w:t>
      </w:r>
    </w:p>
    <w:p>
      <w:pPr>
        <w:pStyle w:val="FirstParagraph"/>
      </w:pPr>
      <w:r>
        <w:rPr>
          <w:bCs/>
          <w:b/>
        </w:rPr>
        <w:t xml:space="preserve">Healthcare</w:t>
      </w:r>
      <w:r>
        <w:t xml:space="preserve">: A physician instructs the system</w:t>
      </w:r>
      <w:r>
        <w:t xml:space="preserve"> </w:t>
      </w:r>
      <w:r>
        <w:t xml:space="preserve">“</w:t>
      </w:r>
      <w:r>
        <w:t xml:space="preserve">provide information only, never diagnose</w:t>
      </w:r>
      <w:r>
        <w:t xml:space="preserve">”</w:t>
      </w:r>
      <w:r>
        <w:t xml:space="preserve"> </w:t>
      </w:r>
      <w:r>
        <w:t xml:space="preserve">at session start. By turn 25, the model begins offering diagnostic interpretations. The physician doesn’t notice immediately because the drift is gradual. The session log shows a boundary violation, but there was no real-time intervention.</w:t>
      </w:r>
    </w:p>
    <w:p>
      <w:pPr>
        <w:pStyle w:val="BodyText"/>
      </w:pPr>
      <w:r>
        <w:rPr>
          <w:bCs/>
          <w:b/>
        </w:rPr>
        <w:t xml:space="preserve">Legal</w:t>
      </w:r>
      <w:r>
        <w:t xml:space="preserve">: An attorney specifies</w:t>
      </w:r>
      <w:r>
        <w:t xml:space="preserve"> </w:t>
      </w:r>
      <w:r>
        <w:t xml:space="preserve">“</w:t>
      </w:r>
      <w:r>
        <w:t xml:space="preserve">analyze precedent, do not draft arguments</w:t>
      </w:r>
      <w:r>
        <w:t xml:space="preserve">”</w:t>
      </w:r>
      <w:r>
        <w:t xml:space="preserve"> </w:t>
      </w:r>
      <w:r>
        <w:t xml:space="preserve">as scope. Mid-conversation, the model begins generating argument language. The attorney must re-correct:</w:t>
      </w:r>
      <w:r>
        <w:t xml:space="preserve"> </w:t>
      </w:r>
      <w:r>
        <w:t xml:space="preserve">“</w:t>
      </w:r>
      <w:r>
        <w:t xml:space="preserve">Remember, you’re analyzing, not drafting.</w:t>
      </w:r>
      <w:r>
        <w:t xml:space="preserve">”</w:t>
      </w:r>
      <w:r>
        <w:t xml:space="preserve"> </w:t>
      </w:r>
      <w:r>
        <w:t xml:space="preserve">This happens repeatedly across the session.</w:t>
      </w:r>
    </w:p>
    <w:p>
      <w:pPr>
        <w:pStyle w:val="BodyText"/>
      </w:pPr>
      <w:r>
        <w:rPr>
          <w:bCs/>
          <w:b/>
        </w:rPr>
        <w:t xml:space="preserve">Finance</w:t>
      </w:r>
      <w:r>
        <w:t xml:space="preserve">: An analyst sets privacy boundaries:</w:t>
      </w:r>
      <w:r>
        <w:t xml:space="preserve"> </w:t>
      </w:r>
      <w:r>
        <w:t xml:space="preserve">“</w:t>
      </w:r>
      <w:r>
        <w:t xml:space="preserve">discuss methodology, do not reference specific portfolio holdings.</w:t>
      </w:r>
      <w:r>
        <w:t xml:space="preserve">”</w:t>
      </w:r>
      <w:r>
        <w:t xml:space="preserve"> </w:t>
      </w:r>
      <w:r>
        <w:t xml:space="preserve">The model maintains this for 15 turns, then begins making specific portfolio references. The analyst catches it, but only after sensitive information entered the conversation.</w:t>
      </w:r>
    </w:p>
    <w:p>
      <w:pPr>
        <w:pStyle w:val="BodyText"/>
      </w:pPr>
      <w:r>
        <w:rPr>
          <w:bCs/>
          <w:b/>
        </w:rPr>
        <w:t xml:space="preserve">Customer Service</w:t>
      </w:r>
      <w:r>
        <w:t xml:space="preserve">: A company trains agents with specific interaction policies. Sessions begin compliant. As conversations extend, models drift from prescribed language, violate escalation protocols, or make commitments outside policy boundaries. Managers review transcripts afterward and find violations—but there was no runtime correction.</w:t>
      </w:r>
    </w:p>
    <w:p>
      <w:pPr>
        <w:pStyle w:val="BodyText"/>
      </w:pPr>
      <w:r>
        <w:t xml:space="preserve">In every case:</w:t>
      </w:r>
      <w:r>
        <w:t xml:space="preserve"> </w:t>
      </w:r>
      <w:r>
        <w:rPr>
          <w:bCs/>
          <w:b/>
        </w:rPr>
        <w:t xml:space="preserve">governance constraints were declared, violations occurred, and no system measured or corrected the drift in real time</w:t>
      </w:r>
      <w:r>
        <w:t xml:space="preserve">.</w:t>
      </w:r>
    </w:p>
    <w:bookmarkEnd w:id="22"/>
    <w:bookmarkStart w:id="27" w:name="Xee64f5e816cf041a1cd8a9f6a27217c495a5932"/>
    <w:p>
      <w:pPr>
        <w:pStyle w:val="Heading3"/>
      </w:pPr>
      <w:r>
        <w:t xml:space="preserve">1.3 What Regulators Are Requiring—And the Approaching Deadline</w:t>
      </w:r>
    </w:p>
    <w:p>
      <w:pPr>
        <w:pStyle w:val="FirstParagraph"/>
      </w:pPr>
      <w:r>
        <w:t xml:space="preserve">Regulatory frameworks are converging on a common principle:</w:t>
      </w:r>
      <w:r>
        <w:t xml:space="preserve"> </w:t>
      </w:r>
      <w:r>
        <w:rPr>
          <w:bCs/>
          <w:b/>
        </w:rPr>
        <w:t xml:space="preserve">governance must be observable, demonstrable, and continuous</w:t>
      </w:r>
      <w:r>
        <w:t xml:space="preserve">.</w:t>
      </w:r>
    </w:p>
    <w:bookmarkStart w:id="23" w:name="X5503c8132cfa943e32dc7bc8fda42de630dd139"/>
    <w:p>
      <w:pPr>
        <w:pStyle w:val="Heading4"/>
      </w:pPr>
      <w:r>
        <w:t xml:space="preserve">EU AI Act (2024), Article 72: Post-Market Monitoring</w:t>
      </w:r>
    </w:p>
    <w:p>
      <w:pPr>
        <w:pStyle w:val="FirstParagraph"/>
      </w:pPr>
      <w:r>
        <w:t xml:space="preserve">“Providers of high-risk AI systems shall put in place a post-market monitoring system… The system shall be based on a systematic and continuous plan, and shall include procedures to:</w:t>
      </w:r>
    </w:p>
    <w:p>
      <w:pPr>
        <w:numPr>
          <w:ilvl w:val="0"/>
          <w:numId w:val="1002"/>
        </w:numPr>
        <w:pStyle w:val="Compact"/>
      </w:pPr>
      <w:r>
        <w:t xml:space="preserve">Gather, document, and analyze relevant data on risks and performance</w:t>
      </w:r>
    </w:p>
    <w:p>
      <w:pPr>
        <w:numPr>
          <w:ilvl w:val="0"/>
          <w:numId w:val="1002"/>
        </w:numPr>
        <w:pStyle w:val="Compact"/>
      </w:pPr>
      <w:r>
        <w:t xml:space="preserve">Review experience gained from the use of AI systems”</w:t>
      </w:r>
    </w:p>
    <w:p>
      <w:pPr>
        <w:pStyle w:val="FirstParagraph"/>
      </w:pPr>
      <w:r>
        <w:rPr>
          <w:bCs/>
          <w:b/>
        </w:rPr>
        <w:t xml:space="preserve">What this means</w:t>
      </w:r>
      <w:r>
        <w:t xml:space="preserve">: You cannot claim compliance through design-time testing alone. You must continuously monitor whether governance constraints hold during actual deployment.</w:t>
      </w:r>
    </w:p>
    <w:p>
      <w:pPr>
        <w:pStyle w:val="BodyText"/>
      </w:pPr>
      <w:r>
        <w:rPr>
          <w:bCs/>
          <w:b/>
        </w:rPr>
        <w:t xml:space="preserve">What current systems provide</w:t>
      </w:r>
      <w:r>
        <w:t xml:space="preserve">: Pre-deployment validation. Post-hoc transcript review.</w:t>
      </w:r>
    </w:p>
    <w:p>
      <w:pPr>
        <w:pStyle w:val="BodyText"/>
      </w:pPr>
      <w:r>
        <w:rPr>
          <w:bCs/>
          <w:b/>
        </w:rPr>
        <w:t xml:space="preserve">What’s missing</w:t>
      </w:r>
      <w:r>
        <w:t xml:space="preserve">: Real-time measurement of whether declared constraints are being maintained. Evidence that violations are detected and corrected during sessions, not discovered in audit.</w:t>
      </w:r>
    </w:p>
    <w:bookmarkEnd w:id="23"/>
    <w:bookmarkStart w:id="24" w:name="X506da4f5b83f6b5c718735155f97ea435941937"/>
    <w:p>
      <w:pPr>
        <w:pStyle w:val="Heading4"/>
      </w:pPr>
      <w:r>
        <w:t xml:space="preserve">NIST AI Risk Management Framework (2023): MEASURE Function</w:t>
      </w:r>
    </w:p>
    <w:p>
      <w:pPr>
        <w:pStyle w:val="FirstParagraph"/>
      </w:pPr>
      <w:r>
        <w:t xml:space="preserve">“</w:t>
      </w:r>
      <w:r>
        <w:t xml:space="preserve">Identified AI risks are tracked over time… Appropriate methods and metrics are identified and applied… Mechanisms for tracking AI risks over time are in place</w:t>
      </w:r>
      <w:r>
        <w:t xml:space="preserve">”</w:t>
      </w:r>
    </w:p>
    <w:p>
      <w:pPr>
        <w:pStyle w:val="BodyText"/>
      </w:pPr>
      <w:r>
        <w:rPr>
          <w:bCs/>
          <w:b/>
        </w:rPr>
        <w:t xml:space="preserve">What this means</w:t>
      </w:r>
      <w:r>
        <w:t xml:space="preserve">: Risk tracking is not a one-time assessment. It must be continuous, measured, and documented throughout system operation.</w:t>
      </w:r>
    </w:p>
    <w:p>
      <w:pPr>
        <w:pStyle w:val="BodyText"/>
      </w:pPr>
      <w:r>
        <w:rPr>
          <w:bCs/>
          <w:b/>
        </w:rPr>
        <w:t xml:space="preserve">What current systems provide</w:t>
      </w:r>
      <w:r>
        <w:t xml:space="preserve">: Static risk assessments. Periodic reviews.</w:t>
      </w:r>
    </w:p>
    <w:p>
      <w:pPr>
        <w:pStyle w:val="BodyText"/>
      </w:pPr>
      <w:r>
        <w:rPr>
          <w:bCs/>
          <w:b/>
        </w:rPr>
        <w:t xml:space="preserve">What’s missing</w:t>
      </w:r>
      <w:r>
        <w:t xml:space="preserve">: Turn-by-turn risk metrics. Evidence that governance mechanisms are actively maintaining alignment rather than assuming it persists.</w:t>
      </w:r>
    </w:p>
    <w:bookmarkEnd w:id="24"/>
    <w:bookmarkStart w:id="25" w:name="Xeac80f9072dc551c7d59cb81456aa5266ca1a58"/>
    <w:p>
      <w:pPr>
        <w:pStyle w:val="Heading4"/>
      </w:pPr>
      <w:r>
        <w:t xml:space="preserve">The Compliance Vacuum and February 2026 Deadline</w:t>
      </w:r>
    </w:p>
    <w:p>
      <w:pPr>
        <w:pStyle w:val="FirstParagraph"/>
      </w:pPr>
      <w:r>
        <w:rPr>
          <w:bCs/>
          <w:b/>
        </w:rPr>
        <w:t xml:space="preserve">As of November 2024, no standardized technical framework exists for Article 72 post-market monitoring.</w:t>
      </w:r>
    </w:p>
    <w:p>
      <w:pPr>
        <w:pStyle w:val="BodyText"/>
      </w:pPr>
      <w:r>
        <w:t xml:space="preserve">The EU AI Act requires providers of high-risk AI systems to implement post-market monitoring by</w:t>
      </w:r>
      <w:r>
        <w:t xml:space="preserve"> </w:t>
      </w:r>
      <w:r>
        <w:rPr>
          <w:bCs/>
          <w:b/>
        </w:rPr>
        <w:t xml:space="preserve">August 2026</w:t>
      </w:r>
      <w:r>
        <w:t xml:space="preserve">. The European Commission is mandated to provide a template for these systems by</w:t>
      </w:r>
      <w:r>
        <w:t xml:space="preserve"> </w:t>
      </w:r>
      <w:r>
        <w:rPr>
          <w:bCs/>
          <w:b/>
        </w:rPr>
        <w:t xml:space="preserve">February 2026</w:t>
      </w:r>
      <w:r>
        <w:t xml:space="preserve"> </w:t>
      </w:r>
      <w:r>
        <w:t xml:space="preserve">(EU AI Act, 2024, Article 72).</w:t>
      </w:r>
    </w:p>
    <w:p>
      <w:pPr>
        <w:pStyle w:val="BodyText"/>
      </w:pPr>
      <w:r>
        <w:rPr>
          <w:bCs/>
          <w:b/>
        </w:rPr>
        <w:t xml:space="preserve">Three months remain</w:t>
      </w:r>
      <w:r>
        <w:t xml:space="preserve"> </w:t>
      </w:r>
      <w:r>
        <w:t xml:space="preserve">until institutions must understand what technical infrastructure the template will require.</w:t>
      </w:r>
    </w:p>
    <w:p>
      <w:pPr>
        <w:pStyle w:val="BodyText"/>
      </w:pPr>
      <w:r>
        <w:rPr>
          <w:bCs/>
          <w:b/>
        </w:rPr>
        <w:t xml:space="preserve">Current state</w:t>
      </w:r>
      <w:r>
        <w:t xml:space="preserve">: Enterprises are implementing ad-hoc approaches—mostly post-hoc transcript review, periodic sampling, and manual audits. These generate compliance documentation burden without producing the</w:t>
      </w:r>
      <w:r>
        <w:t xml:space="preserve"> </w:t>
      </w:r>
      <w:r>
        <w:rPr>
          <w:bCs/>
          <w:b/>
        </w:rPr>
        <w:t xml:space="preserve">continuous quantitative evidence</w:t>
      </w:r>
      <w:r>
        <w:t xml:space="preserve"> </w:t>
      </w:r>
      <w:r>
        <w:t xml:space="preserve">that Article 72 explicitly requires:</w:t>
      </w:r>
      <w:r>
        <w:t xml:space="preserve"> </w:t>
      </w:r>
      <w:r>
        <w:t xml:space="preserve">“</w:t>
      </w:r>
      <w:r>
        <w:t xml:space="preserve">systematic procedures,</w:t>
      </w:r>
      <w:r>
        <w:t xml:space="preserve">”</w:t>
      </w:r>
      <w:r>
        <w:t xml:space="preserve"> </w:t>
      </w:r>
      <w:r>
        <w:t xml:space="preserve">“</w:t>
      </w:r>
      <w:r>
        <w:t xml:space="preserve">relevant data,</w:t>
      </w:r>
      <w:r>
        <w:t xml:space="preserve">”</w:t>
      </w:r>
      <w:r>
        <w:t xml:space="preserve"> </w:t>
      </w:r>
      <w:r>
        <w:t xml:space="preserve">“</w:t>
      </w:r>
      <w:r>
        <w:t xml:space="preserve">continuous plan.</w:t>
      </w:r>
      <w:r>
        <w:t xml:space="preserve">”</w:t>
      </w:r>
    </w:p>
    <w:p>
      <w:pPr>
        <w:pStyle w:val="BodyText"/>
      </w:pPr>
      <w:r>
        <w:rPr>
          <w:bCs/>
          <w:b/>
        </w:rPr>
        <w:t xml:space="preserve">The gap</w:t>
      </w:r>
      <w:r>
        <w:t xml:space="preserve">: Between regulatory requirement (continuous monitoring with auditable evidence) and technical capability (periodic sampling with narrative documentation) is</w:t>
      </w:r>
      <w:r>
        <w:t xml:space="preserve"> </w:t>
      </w:r>
      <w:r>
        <w:rPr>
          <w:bCs/>
          <w:b/>
        </w:rPr>
        <w:t xml:space="preserve">currently unfilled</w:t>
      </w:r>
      <w:r>
        <w:t xml:space="preserve">.</w:t>
      </w:r>
    </w:p>
    <w:p>
      <w:pPr>
        <w:pStyle w:val="BodyText"/>
      </w:pPr>
      <w:r>
        <w:t xml:space="preserve">When the Commission publishes its template in February 2026, institutions deploying high-risk AI systems will face a stark choice:</w:t>
      </w:r>
    </w:p>
    <w:p>
      <w:pPr>
        <w:numPr>
          <w:ilvl w:val="0"/>
          <w:numId w:val="1003"/>
        </w:numPr>
        <w:pStyle w:val="Compact"/>
      </w:pPr>
      <w:r>
        <w:t xml:space="preserve">Adopt standardized monitoring infrastructure quickly, or</w:t>
      </w:r>
    </w:p>
    <w:p>
      <w:pPr>
        <w:numPr>
          <w:ilvl w:val="0"/>
          <w:numId w:val="1003"/>
        </w:numPr>
        <w:pStyle w:val="Compact"/>
      </w:pPr>
      <w:r>
        <w:t xml:space="preserve">Scramble to retrofit fragmented internal solutions to meet template requirements, or</w:t>
      </w:r>
    </w:p>
    <w:p>
      <w:pPr>
        <w:numPr>
          <w:ilvl w:val="0"/>
          <w:numId w:val="1003"/>
        </w:numPr>
        <w:pStyle w:val="Compact"/>
      </w:pPr>
      <w:r>
        <w:t xml:space="preserve">Suspend high-risk AI deployments until compliant monitoring exists</w:t>
      </w:r>
    </w:p>
    <w:p>
      <w:pPr>
        <w:pStyle w:val="FirstParagraph"/>
      </w:pPr>
      <w:r>
        <w:rPr>
          <w:bCs/>
          <w:b/>
        </w:rPr>
        <w:t xml:space="preserve">TELOS addresses this gap</w:t>
      </w:r>
      <w:r>
        <w:t xml:space="preserve">: We provide the measurement primitives—fidelity scoring, drift detection, intervention logging, stability tracking—that continuous post-market monitoring requires. Whether these specific mechanisms become standard or inform alternative approaches, the</w:t>
      </w:r>
      <w:r>
        <w:t xml:space="preserve"> </w:t>
      </w:r>
      <w:r>
        <w:rPr>
          <w:bCs/>
          <w:b/>
        </w:rPr>
        <w:t xml:space="preserve">class of technical infrastructure</w:t>
      </w:r>
      <w:r>
        <w:t xml:space="preserve"> </w:t>
      </w:r>
      <w:r>
        <w:t xml:space="preserve">they represent is what regulatory frameworks demand.</w:t>
      </w:r>
    </w:p>
    <w:p>
      <w:pPr>
        <w:pStyle w:val="BodyText"/>
      </w:pPr>
      <w:r>
        <w:t xml:space="preserve">The February 2026 template will clarify requirements. The August 2026 compliance deadline will enforce them. Institutions need technical solutions now that can adapt to forthcoming specifications.</w:t>
      </w:r>
    </w:p>
    <w:bookmarkEnd w:id="25"/>
    <w:bookmarkStart w:id="26" w:name="the-due-diligence-standard"/>
    <w:p>
      <w:pPr>
        <w:pStyle w:val="Heading4"/>
      </w:pPr>
      <w:r>
        <w:t xml:space="preserve">The Due Diligence Standard</w:t>
      </w:r>
    </w:p>
    <w:p>
      <w:pPr>
        <w:pStyle w:val="FirstParagraph"/>
      </w:pPr>
      <w:r>
        <w:t xml:space="preserve">Both frameworks point toward the same requirement:</w:t>
      </w:r>
      <w:r>
        <w:t xml:space="preserve"> </w:t>
      </w:r>
      <w:r>
        <w:rPr>
          <w:bCs/>
          <w:b/>
        </w:rPr>
        <w:t xml:space="preserve">observable demonstrable due diligence</w:t>
      </w:r>
      <w:r>
        <w:t xml:space="preserve">.</w:t>
      </w:r>
    </w:p>
    <w:p>
      <w:pPr>
        <w:pStyle w:val="BodyText"/>
      </w:pPr>
      <w:r>
        <w:t xml:space="preserve">Not:</w:t>
      </w:r>
      <w:r>
        <w:t xml:space="preserve"> </w:t>
      </w:r>
      <w:r>
        <w:t xml:space="preserve">“</w:t>
      </w:r>
      <w:r>
        <w:t xml:space="preserve">We designed the system to be safe</w:t>
      </w:r>
      <w:r>
        <w:t xml:space="preserve">”</w:t>
      </w:r>
      <w:r>
        <w:br/>
      </w:r>
      <w:r>
        <w:t xml:space="preserve">But:</w:t>
      </w:r>
      <w:r>
        <w:t xml:space="preserve"> </w:t>
      </w:r>
      <w:r>
        <w:t xml:space="preserve">“</w:t>
      </w:r>
      <w:r>
        <w:t xml:space="preserve">Here is continuous evidence that safety constraints remained active throughout deployment</w:t>
      </w:r>
      <w:r>
        <w:t xml:space="preserve">”</w:t>
      </w:r>
    </w:p>
    <w:p>
      <w:pPr>
        <w:pStyle w:val="BodyText"/>
      </w:pPr>
      <w:r>
        <w:t xml:space="preserve">Not:</w:t>
      </w:r>
      <w:r>
        <w:t xml:space="preserve"> </w:t>
      </w:r>
      <w:r>
        <w:t xml:space="preserve">“</w:t>
      </w:r>
      <w:r>
        <w:t xml:space="preserve">We instructed the model to follow boundaries</w:t>
      </w:r>
      <w:r>
        <w:t xml:space="preserve">”</w:t>
      </w:r>
      <w:r>
        <w:br/>
      </w:r>
      <w:r>
        <w:t xml:space="preserve">But:</w:t>
      </w:r>
      <w:r>
        <w:t xml:space="preserve"> </w:t>
      </w:r>
      <w:r>
        <w:t xml:space="preserve">“</w:t>
      </w:r>
      <w:r>
        <w:t xml:space="preserve">Here is measurement showing boundaries were maintained, and here is evidence of correction when drift occurred</w:t>
      </w:r>
      <w:r>
        <w:t xml:space="preserve">”</w:t>
      </w:r>
    </w:p>
    <w:p>
      <w:pPr>
        <w:pStyle w:val="BodyText"/>
      </w:pPr>
      <w:r>
        <w:t xml:space="preserve">Not:</w:t>
      </w:r>
      <w:r>
        <w:t xml:space="preserve"> </w:t>
      </w:r>
      <w:r>
        <w:t xml:space="preserve">“</w:t>
      </w:r>
      <w:r>
        <w:t xml:space="preserve">We reviewed sessions after the fact</w:t>
      </w:r>
      <w:r>
        <w:t xml:space="preserve">”</w:t>
      </w:r>
      <w:r>
        <w:br/>
      </w:r>
      <w:r>
        <w:t xml:space="preserve">But:</w:t>
      </w:r>
      <w:r>
        <w:t xml:space="preserve"> </w:t>
      </w:r>
      <w:r>
        <w:t xml:space="preserve">“</w:t>
      </w:r>
      <w:r>
        <w:t xml:space="preserve">Here is real-time telemetry showing governance monitoring was continuous</w:t>
      </w:r>
      <w:r>
        <w:t xml:space="preserve">”</w:t>
      </w:r>
    </w:p>
    <w:p>
      <w:pPr>
        <w:pStyle w:val="BodyText"/>
      </w:pPr>
      <w:r>
        <w:rPr>
          <w:bCs/>
          <w:b/>
        </w:rPr>
        <w:t xml:space="preserve">This is the gap TELOS addresses</w:t>
      </w:r>
      <w:r>
        <w:t xml:space="preserve">: We are building the measurement and correction infrastructure that makes continuous governance observable and demonstrable.</w:t>
      </w:r>
    </w:p>
    <w:bookmarkEnd w:id="26"/>
    <w:bookmarkEnd w:id="27"/>
    <w:bookmarkStart w:id="28" w:name="X9455406c82288f2bb02d8189bcb2273e5cfc645"/>
    <w:p>
      <w:pPr>
        <w:pStyle w:val="Heading3"/>
      </w:pPr>
      <w:r>
        <w:t xml:space="preserve">1.4 Why Current Approaches Cannot Satisfy This Standard</w:t>
      </w:r>
    </w:p>
    <w:p>
      <w:pPr>
        <w:pStyle w:val="FirstParagraph"/>
      </w:pPr>
      <w:r>
        <w:rPr>
          <w:bCs/>
          <w:b/>
        </w:rPr>
        <w:t xml:space="preserve">Constitutional AI and Provider Safeguards</w:t>
      </w:r>
      <w:r>
        <w:t xml:space="preserve"> </w:t>
      </w:r>
      <w:r>
        <w:t xml:space="preserve">(Bai et al., 2022):</w:t>
      </w:r>
    </w:p>
    <w:p>
      <w:pPr>
        <w:numPr>
          <w:ilvl w:val="0"/>
          <w:numId w:val="1004"/>
        </w:numPr>
        <w:pStyle w:val="Compact"/>
      </w:pPr>
      <w:r>
        <w:t xml:space="preserve">Essential baseline: prevent harmful content, establish universal safety floors</w:t>
      </w:r>
    </w:p>
    <w:p>
      <w:pPr>
        <w:numPr>
          <w:ilvl w:val="0"/>
          <w:numId w:val="1004"/>
        </w:numPr>
        <w:pStyle w:val="Compact"/>
      </w:pPr>
      <w:r>
        <w:t xml:space="preserve">Operate at design-time and model-level</w:t>
      </w:r>
    </w:p>
    <w:p>
      <w:pPr>
        <w:numPr>
          <w:ilvl w:val="0"/>
          <w:numId w:val="1004"/>
        </w:numPr>
        <w:pStyle w:val="Compact"/>
      </w:pPr>
      <w:r>
        <w:t xml:space="preserve">Do not measure or respond to session-specific constraints declared within context windows</w:t>
      </w:r>
    </w:p>
    <w:p>
      <w:pPr>
        <w:numPr>
          <w:ilvl w:val="0"/>
          <w:numId w:val="1004"/>
        </w:numPr>
        <w:pStyle w:val="Compact"/>
      </w:pPr>
      <w:r>
        <w:t xml:space="preserve">Verdict: Necessary but insufficient for session-level governance</w:t>
      </w:r>
    </w:p>
    <w:p>
      <w:pPr>
        <w:pStyle w:val="FirstParagraph"/>
      </w:pPr>
      <w:r>
        <w:rPr>
          <w:bCs/>
          <w:b/>
        </w:rPr>
        <w:t xml:space="preserve">Prompt Engineering</w:t>
      </w:r>
      <w:r>
        <w:t xml:space="preserve">:</w:t>
      </w:r>
    </w:p>
    <w:p>
      <w:pPr>
        <w:numPr>
          <w:ilvl w:val="0"/>
          <w:numId w:val="1005"/>
        </w:numPr>
        <w:pStyle w:val="Compact"/>
      </w:pPr>
      <w:r>
        <w:t xml:space="preserve">State constraints at session start</w:t>
      </w:r>
    </w:p>
    <w:p>
      <w:pPr>
        <w:numPr>
          <w:ilvl w:val="0"/>
          <w:numId w:val="1005"/>
        </w:numPr>
        <w:pStyle w:val="Compact"/>
      </w:pPr>
      <w:r>
        <w:t xml:space="preserve">Hope they persist through attention mechanisms</w:t>
      </w:r>
    </w:p>
    <w:p>
      <w:pPr>
        <w:numPr>
          <w:ilvl w:val="0"/>
          <w:numId w:val="1005"/>
        </w:numPr>
        <w:pStyle w:val="Compact"/>
      </w:pPr>
      <w:r>
        <w:t xml:space="preserve">No measurement of whether they persist</w:t>
      </w:r>
    </w:p>
    <w:p>
      <w:pPr>
        <w:numPr>
          <w:ilvl w:val="0"/>
          <w:numId w:val="1005"/>
        </w:numPr>
        <w:pStyle w:val="Compact"/>
      </w:pPr>
      <w:r>
        <w:t xml:space="preserve">No correction when they erode</w:t>
      </w:r>
    </w:p>
    <w:p>
      <w:pPr>
        <w:numPr>
          <w:ilvl w:val="0"/>
          <w:numId w:val="1005"/>
        </w:numPr>
        <w:pStyle w:val="Compact"/>
      </w:pPr>
      <w:r>
        <w:t xml:space="preserve">Verdict: Declaration without enforcement</w:t>
      </w:r>
    </w:p>
    <w:p>
      <w:pPr>
        <w:pStyle w:val="FirstParagraph"/>
      </w:pPr>
      <w:r>
        <w:rPr>
          <w:bCs/>
          <w:b/>
        </w:rPr>
        <w:t xml:space="preserve">Post-Hoc Review</w:t>
      </w:r>
      <w:r>
        <w:t xml:space="preserve">:</w:t>
      </w:r>
    </w:p>
    <w:p>
      <w:pPr>
        <w:numPr>
          <w:ilvl w:val="0"/>
          <w:numId w:val="1006"/>
        </w:numPr>
        <w:pStyle w:val="Compact"/>
      </w:pPr>
      <w:r>
        <w:t xml:space="preserve">Analyze transcripts after sessions complete</w:t>
      </w:r>
    </w:p>
    <w:p>
      <w:pPr>
        <w:numPr>
          <w:ilvl w:val="0"/>
          <w:numId w:val="1006"/>
        </w:numPr>
        <w:pStyle w:val="Compact"/>
      </w:pPr>
      <w:r>
        <w:t xml:space="preserve">Identify violations retrospectively</w:t>
      </w:r>
    </w:p>
    <w:p>
      <w:pPr>
        <w:numPr>
          <w:ilvl w:val="0"/>
          <w:numId w:val="1006"/>
        </w:numPr>
        <w:pStyle w:val="Compact"/>
      </w:pPr>
      <w:r>
        <w:t xml:space="preserve">Cannot prevent violations before they reach users</w:t>
      </w:r>
    </w:p>
    <w:p>
      <w:pPr>
        <w:numPr>
          <w:ilvl w:val="0"/>
          <w:numId w:val="1006"/>
        </w:numPr>
        <w:pStyle w:val="Compact"/>
      </w:pPr>
      <w:r>
        <w:t xml:space="preserve">Cannot generate evidence of active governance during sessions</w:t>
      </w:r>
    </w:p>
    <w:p>
      <w:pPr>
        <w:numPr>
          <w:ilvl w:val="0"/>
          <w:numId w:val="1006"/>
        </w:numPr>
        <w:pStyle w:val="Compact"/>
      </w:pPr>
      <w:r>
        <w:t xml:space="preserve">Verdict: Audit without prevention</w:t>
      </w:r>
    </w:p>
    <w:p>
      <w:pPr>
        <w:pStyle w:val="FirstParagraph"/>
      </w:pPr>
      <w:r>
        <w:rPr>
          <w:bCs/>
          <w:b/>
        </w:rPr>
        <w:t xml:space="preserve">Periodic Reminders</w:t>
      </w:r>
      <w:r>
        <w:t xml:space="preserve">:</w:t>
      </w:r>
    </w:p>
    <w:p>
      <w:pPr>
        <w:numPr>
          <w:ilvl w:val="0"/>
          <w:numId w:val="1007"/>
        </w:numPr>
        <w:pStyle w:val="Compact"/>
      </w:pPr>
      <w:r>
        <w:t xml:space="preserve">Re-state constraints at fixed intervals (every 10 turns)</w:t>
      </w:r>
    </w:p>
    <w:p>
      <w:pPr>
        <w:numPr>
          <w:ilvl w:val="0"/>
          <w:numId w:val="1007"/>
        </w:numPr>
        <w:pStyle w:val="Compact"/>
      </w:pPr>
      <w:r>
        <w:t xml:space="preserve">Independent of whether drift is occurring</w:t>
      </w:r>
    </w:p>
    <w:p>
      <w:pPr>
        <w:numPr>
          <w:ilvl w:val="0"/>
          <w:numId w:val="1007"/>
        </w:numPr>
        <w:pStyle w:val="Compact"/>
      </w:pPr>
      <w:r>
        <w:t xml:space="preserve">Over-corrects when unnecessary (adds latency)</w:t>
      </w:r>
    </w:p>
    <w:p>
      <w:pPr>
        <w:numPr>
          <w:ilvl w:val="0"/>
          <w:numId w:val="1007"/>
        </w:numPr>
        <w:pStyle w:val="Compact"/>
      </w:pPr>
      <w:r>
        <w:t xml:space="preserve">Under-corrects when drift is rapid</w:t>
      </w:r>
    </w:p>
    <w:p>
      <w:pPr>
        <w:numPr>
          <w:ilvl w:val="0"/>
          <w:numId w:val="1007"/>
        </w:numPr>
        <w:pStyle w:val="Compact"/>
      </w:pPr>
      <w:r>
        <w:t xml:space="preserve">No measurement of effectiveness</w:t>
      </w:r>
    </w:p>
    <w:p>
      <w:pPr>
        <w:numPr>
          <w:ilvl w:val="0"/>
          <w:numId w:val="1007"/>
        </w:numPr>
        <w:pStyle w:val="Compact"/>
      </w:pPr>
      <w:r>
        <w:t xml:space="preserve">Verdict: Cadence without feedback</w:t>
      </w:r>
    </w:p>
    <w:p>
      <w:pPr>
        <w:pStyle w:val="FirstParagraph"/>
      </w:pPr>
      <w:r>
        <w:t xml:space="preserve">None of these approaches provide what regulators require:</w:t>
      </w:r>
      <w:r>
        <w:t xml:space="preserve"> </w:t>
      </w:r>
      <w:r>
        <w:rPr>
          <w:bCs/>
          <w:b/>
        </w:rPr>
        <w:t xml:space="preserve">continuous measurement</w:t>
      </w:r>
      <w:r>
        <w:t xml:space="preserve"> </w:t>
      </w:r>
      <w:r>
        <w:t xml:space="preserve">of governance persistence,</w:t>
      </w:r>
      <w:r>
        <w:t xml:space="preserve"> </w:t>
      </w:r>
      <w:r>
        <w:rPr>
          <w:bCs/>
          <w:b/>
        </w:rPr>
        <w:t xml:space="preserve">proportional intervention</w:t>
      </w:r>
      <w:r>
        <w:t xml:space="preserve"> </w:t>
      </w:r>
      <w:r>
        <w:t xml:space="preserve">when drift occurs, and</w:t>
      </w:r>
      <w:r>
        <w:t xml:space="preserve"> </w:t>
      </w:r>
      <w:r>
        <w:rPr>
          <w:bCs/>
          <w:b/>
        </w:rPr>
        <w:t xml:space="preserve">auditable telemetry</w:t>
      </w:r>
      <w:r>
        <w:t xml:space="preserve"> </w:t>
      </w:r>
      <w:r>
        <w:t xml:space="preserve">documenting both.</w:t>
      </w:r>
    </w:p>
    <w:bookmarkEnd w:id="28"/>
    <w:bookmarkStart w:id="29" w:name="what-we-are-building"/>
    <w:p>
      <w:pPr>
        <w:pStyle w:val="Heading3"/>
      </w:pPr>
      <w:r>
        <w:t xml:space="preserve">1.5 What We Are Building</w:t>
      </w:r>
    </w:p>
    <w:p>
      <w:pPr>
        <w:pStyle w:val="FirstParagraph"/>
      </w:pPr>
      <w:r>
        <w:t xml:space="preserve">TELOS provides the infrastructure for</w:t>
      </w:r>
      <w:r>
        <w:t xml:space="preserve"> </w:t>
      </w:r>
      <w:r>
        <w:rPr>
          <w:bCs/>
          <w:b/>
        </w:rPr>
        <w:t xml:space="preserve">observable demonstrable due diligence</w:t>
      </w:r>
      <w:r>
        <w:t xml:space="preserve">:</w:t>
      </w:r>
    </w:p>
    <w:p>
      <w:pPr>
        <w:pStyle w:val="BodyText"/>
      </w:pPr>
      <w:r>
        <w:rPr>
          <w:bCs/>
          <w:b/>
        </w:rPr>
        <w:t xml:space="preserve">Observable</w:t>
      </w:r>
      <w:r>
        <w:t xml:space="preserve">: Every turn produces measurable fidelity scores, drift vectors, stability metrics—quantitative evidence of governance state.</w:t>
      </w:r>
    </w:p>
    <w:p>
      <w:pPr>
        <w:pStyle w:val="BodyText"/>
      </w:pPr>
      <w:r>
        <w:rPr>
          <w:bCs/>
          <w:b/>
        </w:rPr>
        <w:t xml:space="preserve">Demonstrable</w:t>
      </w:r>
      <w:r>
        <w:t xml:space="preserve">: Telemetry creates an audit trail showing what constraints were declared, when drift occurred, what interventions were applied, whether adherence improved.</w:t>
      </w:r>
    </w:p>
    <w:p>
      <w:pPr>
        <w:pStyle w:val="BodyText"/>
      </w:pPr>
      <w:r>
        <w:rPr>
          <w:bCs/>
          <w:b/>
        </w:rPr>
        <w:t xml:space="preserve">Due Diligence</w:t>
      </w:r>
      <w:r>
        <w:t xml:space="preserve">: The system actively works to maintain alignment rather than passively assuming it persists—and generates evidence of this work.</w:t>
      </w:r>
    </w:p>
    <w:p>
      <w:pPr>
        <w:pStyle w:val="BodyText"/>
      </w:pPr>
      <w:r>
        <w:t xml:space="preserve">We do not claim this solves AI governance completely. We claim it makes governance</w:t>
      </w:r>
      <w:r>
        <w:t xml:space="preserve"> </w:t>
      </w:r>
      <w:r>
        <w:rPr>
          <w:bCs/>
          <w:b/>
        </w:rPr>
        <w:t xml:space="preserve">measurable</w:t>
      </w:r>
      <w:r>
        <w:t xml:space="preserve"> </w:t>
      </w:r>
      <w:r>
        <w:t xml:space="preserve">where it was previously aspirational,</w:t>
      </w:r>
      <w:r>
        <w:t xml:space="preserve"> </w:t>
      </w:r>
      <w:r>
        <w:rPr>
          <w:bCs/>
          <w:b/>
        </w:rPr>
        <w:t xml:space="preserve">correctable</w:t>
      </w:r>
      <w:r>
        <w:t xml:space="preserve"> </w:t>
      </w:r>
      <w:r>
        <w:t xml:space="preserve">where it was previously hope-based, and</w:t>
      </w:r>
      <w:r>
        <w:t xml:space="preserve"> </w:t>
      </w:r>
      <w:r>
        <w:rPr>
          <w:bCs/>
          <w:b/>
        </w:rPr>
        <w:t xml:space="preserve">auditable</w:t>
      </w:r>
      <w:r>
        <w:t xml:space="preserve"> </w:t>
      </w:r>
      <w:r>
        <w:t xml:space="preserve">where it was previously opaque.</w:t>
      </w:r>
    </w:p>
    <w:p>
      <w:pPr>
        <w:pStyle w:val="BodyText"/>
      </w:pPr>
      <w:r>
        <w:t xml:space="preserve">The following sections describe the mathematical framework that makes this possible, the implementation that makes it practical, and the validation framework that will determine whether it works.</w:t>
      </w:r>
    </w:p>
    <w:p>
      <w:r>
        <w:pict>
          <v:rect style="width:0;height:1.5pt" o:hralign="center" o:hrstd="t" o:hr="t"/>
        </w:pict>
      </w:r>
    </w:p>
    <w:bookmarkEnd w:id="29"/>
    <w:bookmarkEnd w:id="30"/>
    <w:bookmarkStart w:id="31" w:name="X88d23c6e200786ada5efd6dc1807dc2347b8cbf"/>
    <w:p>
      <w:pPr>
        <w:pStyle w:val="Heading2"/>
      </w:pPr>
      <w:r>
        <w:t xml:space="preserve">Bridge: From Systems Thinking to Mathematical Formalism</w:t>
      </w:r>
    </w:p>
    <w:p>
      <w:pPr>
        <w:pStyle w:val="FirstParagraph"/>
      </w:pPr>
      <w:r>
        <w:t xml:space="preserve">The integration of process control within TELOS follows directly from disciplined systems analysis. When semantic drift is formalized as measurable deviation from a defined purpose vector, its mathematical structure maps directly to process variation within tolerance limits. TELOS extends established control principles—measurement, proportional correction, and continuous recalibration—into semantic space.</w:t>
      </w:r>
    </w:p>
    <w:p>
      <w:pPr>
        <w:pStyle w:val="BodyText"/>
      </w:pPr>
      <w:r>
        <w:t xml:space="preserve">Purpose adherence in language systems exhibits the same measurable dynamics as quality stability in physical processes. The framework synthesizes proportional control (operational mechanism) and attractor dynamics (mathematical description) into a unified architecture for semantic governance. These are not competing frameworks but dual formulations of identical mathematics: the control law implements operational correction while basin geometry describes the resulting stable region.</w:t>
      </w:r>
    </w:p>
    <w:p>
      <w:r>
        <w:pict>
          <v:rect style="width:0;height:1.5pt" o:hralign="center" o:hrstd="t" o:hr="t"/>
        </w:pict>
      </w:r>
    </w:p>
    <w:bookmarkEnd w:id="31"/>
    <w:bookmarkStart w:id="44" w:name="X8e60828f6ea028856b475adea7852c85914cd25"/>
    <w:p>
      <w:pPr>
        <w:pStyle w:val="Heading2"/>
      </w:pPr>
      <w:r>
        <w:t xml:space="preserve">2. Quality Control Architecture: Proportional Control and Attractor Dynamics</w:t>
      </w:r>
    </w:p>
    <w:bookmarkStart w:id="32" w:name="X3b761aa8b110b314e89396dd34c8d3e3f0e31c5"/>
    <w:p>
      <w:pPr>
        <w:pStyle w:val="Heading3"/>
      </w:pPr>
      <w:r>
        <w:t xml:space="preserve">2.1 Core Insight: Governance as Measurable Process</w:t>
      </w:r>
    </w:p>
    <w:p>
      <w:pPr>
        <w:pStyle w:val="FirstParagraph"/>
      </w:pPr>
      <w:r>
        <w:t xml:space="preserve">We treat alignment not as a qualitative property but as a</w:t>
      </w:r>
      <w:r>
        <w:t xml:space="preserve"> </w:t>
      </w:r>
      <w:r>
        <w:rPr>
          <w:bCs/>
          <w:b/>
        </w:rPr>
        <w:t xml:space="preserve">measurable position in embedding space</w:t>
      </w:r>
      <w:r>
        <w:t xml:space="preserve"> </w:t>
      </w:r>
      <w:r>
        <w:t xml:space="preserve">subject to continuous process control.</w:t>
      </w:r>
    </w:p>
    <w:p>
      <w:pPr>
        <w:pStyle w:val="BodyText"/>
      </w:pPr>
      <w:r>
        <w:t xml:space="preserve">When a user declares:</w:t>
      </w:r>
    </w:p>
    <w:p>
      <w:pPr>
        <w:numPr>
          <w:ilvl w:val="0"/>
          <w:numId w:val="1008"/>
        </w:numPr>
        <w:pStyle w:val="Compact"/>
      </w:pPr>
      <w:r>
        <w:rPr>
          <w:bCs/>
          <w:b/>
        </w:rPr>
        <w:t xml:space="preserve">Purpose</w:t>
      </w:r>
      <w:r>
        <w:t xml:space="preserve">:</w:t>
      </w:r>
      <w:r>
        <w:t xml:space="preserve"> </w:t>
      </w:r>
      <w:r>
        <w:t xml:space="preserve">“</w:t>
      </w:r>
      <w:r>
        <w:t xml:space="preserve">Help me structure a technical paper</w:t>
      </w:r>
      <w:r>
        <w:t xml:space="preserve">”</w:t>
      </w:r>
    </w:p>
    <w:p>
      <w:pPr>
        <w:numPr>
          <w:ilvl w:val="0"/>
          <w:numId w:val="1008"/>
        </w:numPr>
        <w:pStyle w:val="Compact"/>
      </w:pPr>
      <w:r>
        <w:rPr>
          <w:bCs/>
          <w:b/>
        </w:rPr>
        <w:t xml:space="preserve">Scope</w:t>
      </w:r>
      <w:r>
        <w:t xml:space="preserve">:</w:t>
      </w:r>
      <w:r>
        <w:t xml:space="preserve"> </w:t>
      </w:r>
      <w:r>
        <w:t xml:space="preserve">“</w:t>
      </w:r>
      <w:r>
        <w:t xml:space="preserve">Guide my thinking, don’t write content</w:t>
      </w:r>
      <w:r>
        <w:t xml:space="preserve">”</w:t>
      </w:r>
    </w:p>
    <w:p>
      <w:pPr>
        <w:numPr>
          <w:ilvl w:val="0"/>
          <w:numId w:val="1008"/>
        </w:numPr>
        <w:pStyle w:val="Compact"/>
      </w:pPr>
      <w:r>
        <w:rPr>
          <w:bCs/>
          <w:b/>
        </w:rPr>
        <w:t xml:space="preserve">Boundaries</w:t>
      </w:r>
      <w:r>
        <w:t xml:space="preserve">:</w:t>
      </w:r>
      <w:r>
        <w:t xml:space="preserve"> </w:t>
      </w:r>
      <w:r>
        <w:t xml:space="preserve">“</w:t>
      </w:r>
      <w:r>
        <w:t xml:space="preserve">No drafting full paragraphs</w:t>
      </w:r>
      <w:r>
        <w:t xml:space="preserve">”</w:t>
      </w:r>
    </w:p>
    <w:p>
      <w:pPr>
        <w:pStyle w:val="FirstParagraph"/>
      </w:pPr>
      <w:r>
        <w:t xml:space="preserve">These declarations become embeddings—vectors in ℝ^d using standard sentence transformers (Reimers &amp; Gurevych, 2019). These vectors define the</w:t>
      </w:r>
      <w:r>
        <w:t xml:space="preserve"> </w:t>
      </w:r>
      <w:r>
        <w:rPr>
          <w:bCs/>
          <w:b/>
        </w:rPr>
        <w:t xml:space="preserve">Primacy Attractor</w:t>
      </w:r>
      <w:r>
        <w:t xml:space="preserve">: the governance center against which all subsequent outputs are measured.</w:t>
      </w:r>
    </w:p>
    <w:p>
      <w:pPr>
        <w:pStyle w:val="BodyText"/>
      </w:pPr>
      <w:r>
        <w:t xml:space="preserve">Every model response gets embedded. Its distance from the attractor quantifies drift. Its direction indicates how it’s violating constraints. These measurements enable proportional intervention: minor drift gets gentle correction, severe violations get immediate blocking.</w:t>
      </w:r>
    </w:p>
    <w:p>
      <w:pPr>
        <w:pStyle w:val="BodyText"/>
      </w:pPr>
      <w:r>
        <w:t xml:space="preserve">This transforms governance from subjective judgment (</w:t>
      </w:r>
      <w:r>
        <w:t xml:space="preserve">“</w:t>
      </w:r>
      <w:r>
        <w:t xml:space="preserve">does this feel aligned?</w:t>
      </w:r>
      <w:r>
        <w:t xml:space="preserve">”</w:t>
      </w:r>
      <w:r>
        <w:t xml:space="preserve">) to quantitative measurement (</w:t>
      </w:r>
      <w:r>
        <w:t xml:space="preserve">“</w:t>
      </w:r>
      <w:r>
        <w:t xml:space="preserve">fidelity = 0.73, below threshold, intervention required</w:t>
      </w:r>
      <w:r>
        <w:t xml:space="preserve">”</w:t>
      </w:r>
      <w:r>
        <w:t xml:space="preserve">).</w:t>
      </w:r>
    </w:p>
    <w:bookmarkEnd w:id="32"/>
    <w:bookmarkStart w:id="33" w:name="X282884a0fa96a091316207c0a75a45d74fd99e8"/>
    <w:p>
      <w:pPr>
        <w:pStyle w:val="Heading3"/>
      </w:pPr>
      <w:r>
        <w:t xml:space="preserve">2.2 Mathematical Foundations: Proportional Control Law and Stability</w:t>
      </w:r>
    </w:p>
    <w:p>
      <w:pPr>
        <w:pStyle w:val="FirstParagraph"/>
      </w:pPr>
      <w:r>
        <w:t xml:space="preserve">Within this formulation, the proportional control law defines the corrective mechanism:</w:t>
      </w:r>
    </w:p>
    <w:p>
      <w:pPr>
        <w:pStyle w:val="BodyText"/>
      </w:pPr>
      <m:oMathPara>
        <m:oMathParaPr>
          <m:jc m:val="center"/>
        </m:oMathParaPr>
        <m:oMath>
          <m:r>
            <m:t>F</m:t>
          </m:r>
          <m:r>
            <m:rPr>
              <m:sty m:val="p"/>
            </m:rPr>
            <m:t>=</m:t>
          </m:r>
          <m:r>
            <m:t>K</m:t>
          </m:r>
          <m:r>
            <m:rPr>
              <m:sty m:val="p"/>
            </m:rPr>
            <m:t>⋅</m:t>
          </m:r>
          <m:r>
            <m:t>e</m:t>
          </m:r>
          <m:r>
            <m:rPr>
              <m:sty m:val="p"/>
            </m:rPr>
            <m:t>,</m:t>
          </m:r>
          <m:r>
            <m:t> </m:t>
          </m:r>
          <m:r>
            <m:rPr>
              <m:nor/>
              <m:sty m:val="p"/>
            </m:rPr>
            <m:t>where </m:t>
          </m:r>
          <m:r>
            <m:t>e</m:t>
          </m:r>
          <m:r>
            <m:rPr>
              <m:sty m:val="p"/>
            </m:rPr>
            <m:t>=</m:t>
          </m:r>
          <m:f>
            <m:fPr>
              <m:type m:val="bar"/>
            </m:fPr>
            <m:num>
              <m:d>
                <m:dPr>
                  <m:begChr m:val="|"/>
                  <m:endChr m:val="|"/>
                  <m:sepChr m:val=""/>
                  <m:grow/>
                </m:dPr>
                <m:e>
                  <m:r>
                    <m:t>x</m:t>
                  </m:r>
                  <m:r>
                    <m:rPr>
                      <m:sty m:val="p"/>
                    </m:rPr>
                    <m:t>−</m:t>
                  </m:r>
                  <m:acc>
                    <m:accPr>
                      <m:chr m:val="̂"/>
                    </m:accPr>
                    <m:e>
                      <m:r>
                        <m:t>a</m:t>
                      </m:r>
                    </m:e>
                  </m:acc>
                </m:e>
              </m:d>
            </m:num>
            <m:den>
              <m:r>
                <m:t>r</m:t>
              </m:r>
            </m:den>
          </m:f>
        </m:oMath>
      </m:oMathPara>
    </w:p>
    <w:p>
      <w:pPr>
        <w:pStyle w:val="FirstParagraph"/>
      </w:pPr>
      <w:r>
        <w:t xml:space="preserve">Here</w:t>
      </w:r>
      <w:r>
        <w:t xml:space="preserve"> </w:t>
      </w:r>
      <w:r>
        <w:rPr>
          <w:bCs/>
          <w:b/>
        </w:rPr>
        <w:t xml:space="preserve">x</w:t>
      </w:r>
      <w:r>
        <w:t xml:space="preserve"> </w:t>
      </w:r>
      <w:r>
        <w:t xml:space="preserve">represents the instantaneous semantic state (response embedding),</w:t>
      </w:r>
      <w:r>
        <w:t xml:space="preserve"> </w:t>
      </w:r>
      <w:r>
        <w:rPr>
          <w:bCs/>
          <w:b/>
        </w:rPr>
        <w:t xml:space="preserve">â</w:t>
      </w:r>
      <w:r>
        <w:t xml:space="preserve"> </w:t>
      </w:r>
      <w:r>
        <w:t xml:space="preserve">is the Primacy Attractor—a vector formed from declared purpose, scope, and boundaries—and</w:t>
      </w:r>
      <w:r>
        <w:t xml:space="preserve"> </w:t>
      </w:r>
      <w:r>
        <w:rPr>
          <w:bCs/>
          <w:b/>
        </w:rPr>
        <w:t xml:space="preserve">r</w:t>
      </w:r>
      <w:r>
        <w:t xml:space="preserve"> </w:t>
      </w:r>
      <w:r>
        <w:t xml:space="preserve">is the tolerance radius defining the Primacy Basin. The scalar</w:t>
      </w:r>
      <w:r>
        <w:t xml:space="preserve"> </w:t>
      </w:r>
      <w:r>
        <w:rPr>
          <w:bCs/>
          <w:b/>
        </w:rPr>
        <w:t xml:space="preserve">e</w:t>
      </w:r>
      <w:r>
        <w:t xml:space="preserve"> </w:t>
      </w:r>
      <w:r>
        <w:t xml:space="preserve">expresses normalized deviation from purpose, and</w:t>
      </w:r>
      <w:r>
        <w:t xml:space="preserve"> </w:t>
      </w:r>
      <w:r>
        <w:rPr>
          <w:bCs/>
          <w:b/>
        </w:rPr>
        <w:t xml:space="preserve">K</w:t>
      </w:r>
      <w:r>
        <w:t xml:space="preserve"> </w:t>
      </w:r>
      <w:r>
        <w:t xml:space="preserve">is the proportional gain governing correction strength.</w:t>
      </w:r>
    </w:p>
    <w:p>
      <w:pPr>
        <w:pStyle w:val="BodyText"/>
      </w:pPr>
      <w:r>
        <w:t xml:space="preserve">The law operates continuously as part of a closed feedback loop: each output is measured, deviation quantified, and corrective force</w:t>
      </w:r>
      <w:r>
        <w:t xml:space="preserve"> </w:t>
      </w:r>
      <w:r>
        <w:rPr>
          <w:bCs/>
          <w:b/>
        </w:rPr>
        <w:t xml:space="preserve">F</w:t>
      </w:r>
      <w:r>
        <w:t xml:space="preserve"> </w:t>
      </w:r>
      <w:r>
        <w:t xml:space="preserve">applied proportionally to drift magnitude. When e &lt; ε_min, the system remains stable with no intervention; as e approaches ε_max, corrective action scales accordingly—from gentle reminder injection to full response regeneration.</w:t>
      </w:r>
    </w:p>
    <w:p>
      <w:pPr>
        <w:pStyle w:val="BodyText"/>
      </w:pPr>
      <w:r>
        <w:t xml:space="preserve">This dynamic defines a</w:t>
      </w:r>
      <w:r>
        <w:t xml:space="preserve"> </w:t>
      </w:r>
      <w:r>
        <w:rPr>
          <w:bCs/>
          <w:b/>
        </w:rPr>
        <w:t xml:space="preserve">point attractor</w:t>
      </w:r>
      <w:r>
        <w:t xml:space="preserve"> </w:t>
      </w:r>
      <w:r>
        <w:t xml:space="preserve">at</w:t>
      </w:r>
      <w:r>
        <w:t xml:space="preserve"> </w:t>
      </w:r>
      <w:r>
        <w:rPr>
          <w:bCs/>
          <w:b/>
        </w:rPr>
        <w:t xml:space="preserve">â</w:t>
      </w:r>
      <w:r>
        <w:t xml:space="preserve"> </w:t>
      </w:r>
      <w:r>
        <w:t xml:space="preserve">with basin:</w:t>
      </w:r>
    </w:p>
    <w:p>
      <w:pPr>
        <w:pStyle w:val="BodyText"/>
      </w:pPr>
      <m:oMathPara>
        <m:oMathParaPr>
          <m:jc m:val="center"/>
        </m:oMathParaPr>
        <m:oMath>
          <m:r>
            <m:t>B</m:t>
          </m:r>
          <m:d>
            <m:dPr>
              <m:begChr m:val="("/>
              <m:endChr m:val=")"/>
              <m:sepChr m:val=""/>
              <m:grow/>
            </m:dPr>
            <m:e>
              <m:acc>
                <m:accPr>
                  <m:chr m:val="̂"/>
                </m:accPr>
                <m:e>
                  <m:r>
                    <m:t>a</m:t>
                  </m:r>
                </m:e>
              </m:acc>
              <m:r>
                <m:rPr>
                  <m:sty m:val="p"/>
                </m:rPr>
                <m:t>,</m:t>
              </m:r>
              <m:r>
                <m:t>r</m:t>
              </m:r>
            </m:e>
          </m:d>
          <m:r>
            <m:rPr>
              <m:sty m:val="p"/>
            </m:rPr>
            <m:t>=</m:t>
          </m:r>
          <m:r>
            <m:t>x</m:t>
          </m:r>
          <m:r>
            <m:rPr>
              <m:sty m:val="p"/>
            </m:rPr>
            <m:t>∈</m:t>
          </m:r>
          <m:sSup>
            <m:e>
              <m:r>
                <m:rPr>
                  <m:sty m:val="p"/>
                  <m:scr m:val="double-struck"/>
                </m:rPr>
                <m:t>R</m:t>
              </m:r>
            </m:e>
            <m:sup>
              <m:r>
                <m:t>d</m:t>
              </m:r>
            </m:sup>
          </m:sSup>
          <m:r>
            <m:rPr>
              <m:sty m:val="p"/>
            </m:rPr>
            <m:t>:</m:t>
          </m:r>
          <m:d>
            <m:dPr>
              <m:begChr m:val="|"/>
              <m:endChr m:val="|"/>
              <m:sepChr m:val=""/>
              <m:grow/>
            </m:dPr>
            <m:e>
              <m:r>
                <m:t>x</m:t>
              </m:r>
              <m:r>
                <m:rPr>
                  <m:sty m:val="p"/>
                </m:rPr>
                <m:t>−</m:t>
              </m:r>
              <m:acc>
                <m:accPr>
                  <m:chr m:val="̂"/>
                </m:accPr>
                <m:e>
                  <m:r>
                    <m:t>a</m:t>
                  </m:r>
                </m:e>
              </m:acc>
            </m:e>
          </m:d>
          <m:r>
            <m:rPr>
              <m:sty m:val="p"/>
            </m:rPr>
            <m:t>≤</m:t>
          </m:r>
          <m:r>
            <m:t>r</m:t>
          </m:r>
        </m:oMath>
      </m:oMathPara>
    </w:p>
    <w:p>
      <w:pPr>
        <w:pStyle w:val="FirstParagraph"/>
      </w:pPr>
      <w:r>
        <w:t xml:space="preserve">The basin radius is computed as:</w:t>
      </w:r>
    </w:p>
    <w:p>
      <w:pPr>
        <w:pStyle w:val="BodyText"/>
      </w:pPr>
      <m:oMathPara>
        <m:oMathParaPr>
          <m:jc m:val="center"/>
        </m:oMathParaPr>
        <m:oMath>
          <m:r>
            <m:t>r</m:t>
          </m:r>
          <m:r>
            <m:rPr>
              <m:sty m:val="p"/>
            </m:rPr>
            <m:t>=</m:t>
          </m:r>
          <m:f>
            <m:fPr>
              <m:type m:val="bar"/>
            </m:fPr>
            <m:num>
              <m:r>
                <m:t>2</m:t>
              </m:r>
            </m:num>
            <m:den>
              <m:r>
                <m:rPr>
                  <m:sty m:val="p"/>
                </m:rPr>
                <m:t>max</m:t>
              </m:r>
              <m:d>
                <m:dPr>
                  <m:begChr m:val="("/>
                  <m:endChr m:val=")"/>
                  <m:sepChr m:val=""/>
                  <m:grow/>
                </m:dPr>
                <m:e>
                  <m:r>
                    <m:t>ρ</m:t>
                  </m:r>
                  <m:r>
                    <m:rPr>
                      <m:sty m:val="p"/>
                    </m:rPr>
                    <m:t>,</m:t>
                  </m:r>
                  <m:r>
                    <m:t>0.25</m:t>
                  </m:r>
                </m:e>
              </m:d>
            </m:den>
          </m:f>
          <m:r>
            <m:t> </m:t>
          </m:r>
          <m:r>
            <m:rPr>
              <m:nor/>
              <m:sty m:val="p"/>
            </m:rPr>
            <m:t>where</m:t>
          </m:r>
          <m:r>
            <m:t> </m:t>
          </m:r>
          <m:r>
            <m:t>ρ</m:t>
          </m:r>
          <m:r>
            <m:rPr>
              <m:sty m:val="p"/>
            </m:rPr>
            <m:t>=</m:t>
          </m:r>
          <m:r>
            <m:t>1</m:t>
          </m:r>
          <m:r>
            <m:rPr>
              <m:sty m:val="p"/>
            </m:rPr>
            <m:t>−</m:t>
          </m:r>
          <m:r>
            <m:t>τ</m:t>
          </m:r>
        </m:oMath>
      </m:oMathPara>
    </w:p>
    <w:p>
      <w:pPr>
        <w:pStyle w:val="FirstParagraph"/>
      </w:pPr>
      <w:r>
        <w:t xml:space="preserve">where τ ∈ [0,1] is the tolerance parameter (lower tolerance → tighter basin).</w:t>
      </w:r>
    </w:p>
    <w:p>
      <w:pPr>
        <w:pStyle w:val="BodyText"/>
      </w:pPr>
      <w:r>
        <w:rPr>
          <w:bCs/>
          <w:b/>
        </w:rPr>
        <w:t xml:space="preserve">Stability Analysis</w:t>
      </w:r>
      <w:r>
        <w:t xml:space="preserve">: Convergence can be expressed through a Lyapunov-like potential function:</w:t>
      </w:r>
    </w:p>
    <w:p>
      <w:pPr>
        <w:pStyle w:val="BodyText"/>
      </w:pPr>
      <m:oMathPara>
        <m:oMathParaPr>
          <m:jc m:val="center"/>
        </m:oMathParaPr>
        <m:oMath>
          <m:r>
            <m:t>V</m:t>
          </m:r>
          <m:d>
            <m:dPr>
              <m:begChr m:val="("/>
              <m:endChr m:val=")"/>
              <m:sepChr m:val=""/>
              <m:grow/>
            </m:dPr>
            <m:e>
              <m:r>
                <m:t>x</m:t>
              </m:r>
            </m:e>
          </m:d>
          <m:r>
            <m:rPr>
              <m:sty m:val="p"/>
            </m:rPr>
            <m:t>=</m:t>
          </m:r>
          <m:f>
            <m:fPr>
              <m:type m:val="bar"/>
            </m:fPr>
            <m:num>
              <m:r>
                <m:t>1</m:t>
              </m:r>
            </m:num>
            <m:den>
              <m:r>
                <m:t>2</m:t>
              </m:r>
            </m:den>
          </m:f>
          <m:sSup>
            <m:e>
              <m:d>
                <m:dPr>
                  <m:begChr m:val="|"/>
                  <m:endChr m:val="|"/>
                  <m:sepChr m:val=""/>
                  <m:grow/>
                </m:dPr>
                <m:e>
                  <m:r>
                    <m:t>x</m:t>
                  </m:r>
                  <m:r>
                    <m:rPr>
                      <m:sty m:val="p"/>
                    </m:rPr>
                    <m:t>−</m:t>
                  </m:r>
                  <m:acc>
                    <m:accPr>
                      <m:chr m:val="̂"/>
                    </m:accPr>
                    <m:e>
                      <m:r>
                        <m:t>a</m:t>
                      </m:r>
                    </m:e>
                  </m:acc>
                </m:e>
              </m:d>
            </m:e>
            <m:sup>
              <m:r>
                <m:t>2</m:t>
              </m:r>
            </m:sup>
          </m:sSup>
        </m:oMath>
      </m:oMathPara>
    </w:p>
    <w:p>
      <w:pPr>
        <w:pStyle w:val="FirstParagraph"/>
      </w:pPr>
      <w:r>
        <w:t xml:space="preserve">Its temporal derivative under proportional feedback satisfies:</w:t>
      </w:r>
    </w:p>
    <w:p>
      <w:pPr>
        <w:pStyle w:val="BodyText"/>
      </w:pPr>
      <m:oMathPara>
        <m:oMathParaPr>
          <m:jc m:val="center"/>
        </m:oMathParaPr>
        <m:oMath>
          <m:acc>
            <m:accPr>
              <m:chr m:val="̇"/>
            </m:accPr>
            <m:e>
              <m:r>
                <m:t>V</m:t>
              </m:r>
            </m:e>
          </m:acc>
          <m:d>
            <m:dPr>
              <m:begChr m:val="("/>
              <m:endChr m:val=")"/>
              <m:sepChr m:val=""/>
              <m:grow/>
            </m:dPr>
            <m:e>
              <m:r>
                <m:t>x</m:t>
              </m:r>
            </m:e>
          </m:d>
          <m:r>
            <m:rPr>
              <m:sty m:val="p"/>
            </m:rPr>
            <m:t>=</m:t>
          </m:r>
          <m:r>
            <m:rPr>
              <m:sty m:val="p"/>
            </m:rPr>
            <m:t>−</m:t>
          </m:r>
          <m:r>
            <m:t>K</m:t>
          </m:r>
          <m:sSup>
            <m:e>
              <m:d>
                <m:dPr>
                  <m:begChr m:val="|"/>
                  <m:endChr m:val="|"/>
                  <m:sepChr m:val=""/>
                  <m:grow/>
                </m:dPr>
                <m:e>
                  <m:r>
                    <m:t>x</m:t>
                  </m:r>
                  <m:r>
                    <m:rPr>
                      <m:sty m:val="p"/>
                    </m:rPr>
                    <m:t>−</m:t>
                  </m:r>
                  <m:acc>
                    <m:accPr>
                      <m:chr m:val="̂"/>
                    </m:accPr>
                    <m:e>
                      <m:r>
                        <m:t>a</m:t>
                      </m:r>
                    </m:e>
                  </m:acc>
                </m:e>
              </m:d>
            </m:e>
            <m:sup>
              <m:r>
                <m:t>2</m:t>
              </m:r>
            </m:sup>
          </m:sSup>
          <m:r>
            <m:rPr>
              <m:sty m:val="p"/>
            </m:rPr>
            <m:t>&lt;</m:t>
          </m:r>
          <m:r>
            <m:t>0</m:t>
          </m:r>
        </m:oMath>
      </m:oMathPara>
    </w:p>
    <w:p>
      <w:pPr>
        <w:pStyle w:val="FirstParagraph"/>
      </w:pPr>
      <w:r>
        <w:t xml:space="preserve">confirming asymptotic convergence toward the attractor and bounded stability within the basin (Khalil, 2002; Strogatz, 2014).</w:t>
      </w:r>
    </w:p>
    <w:bookmarkEnd w:id="33"/>
    <w:bookmarkStart w:id="40" w:name="X1c3b085ed8072964430b452b1be5a023213e9f6"/>
    <w:p>
      <w:pPr>
        <w:pStyle w:val="Heading3"/>
      </w:pPr>
      <w:r>
        <w:t xml:space="preserve">2.3 Dual Primacy Attractor Architecture (Canonical Implementation)</w:t>
      </w:r>
    </w:p>
    <w:p>
      <w:pPr>
        <w:pStyle w:val="FirstParagraph"/>
      </w:pPr>
      <w:r>
        <w:rPr>
          <w:bCs/>
          <w:b/>
        </w:rPr>
        <w:t xml:space="preserve">Development</w:t>
      </w:r>
      <w:r>
        <w:t xml:space="preserve">: November 2024</w:t>
      </w:r>
      <w:r>
        <w:br/>
      </w:r>
      <w:r>
        <w:rPr>
          <w:bCs/>
          <w:b/>
        </w:rPr>
        <w:t xml:space="preserve">Status</w:t>
      </w:r>
      <w:r>
        <w:t xml:space="preserve">: Validated across 46 real-world sessions</w:t>
      </w:r>
      <w:r>
        <w:br/>
      </w:r>
      <w:r>
        <w:rPr>
          <w:bCs/>
          <w:b/>
        </w:rPr>
        <w:t xml:space="preserve">Improvement</w:t>
      </w:r>
      <w:r>
        <w:t xml:space="preserve">: +85.32% over single-attractor baseline</w:t>
      </w:r>
    </w:p>
    <w:bookmarkStart w:id="34" w:name="the-two-attractor-system"/>
    <w:p>
      <w:pPr>
        <w:pStyle w:val="Heading4"/>
      </w:pPr>
      <w:r>
        <w:t xml:space="preserve">The Two-Attractor System</w:t>
      </w:r>
    </w:p>
    <w:p>
      <w:pPr>
        <w:pStyle w:val="FirstParagraph"/>
      </w:pPr>
      <w:r>
        <w:t xml:space="preserve">While single-attractor systems define governance through one reference point, dual PA architecture recognizes that alignment requires</w:t>
      </w:r>
      <w:r>
        <w:t xml:space="preserve"> </w:t>
      </w:r>
      <w:r>
        <w:rPr>
          <w:bCs/>
          <w:b/>
        </w:rPr>
        <w:t xml:space="preserve">complementary forces</w:t>
      </w:r>
      <w:r>
        <w:t xml:space="preserve">:</w:t>
      </w:r>
    </w:p>
    <w:p>
      <w:pPr>
        <w:pStyle w:val="BodyText"/>
      </w:pPr>
      <w:r>
        <w:rPr>
          <w:bCs/>
          <w:b/>
        </w:rPr>
        <w:t xml:space="preserve">User PA (User Primacy Attractor)</w:t>
      </w:r>
      <w:r>
        <w:t xml:space="preserve">:</w:t>
      </w:r>
      <w:r>
        <w:t xml:space="preserve"> </w:t>
      </w:r>
      <w:r>
        <w:t xml:space="preserve">-</w:t>
      </w:r>
      <w:r>
        <w:t xml:space="preserve"> </w:t>
      </w:r>
      <w:r>
        <w:rPr>
          <w:bCs/>
          <w:b/>
        </w:rPr>
        <w:t xml:space="preserve">Governs</w:t>
      </w:r>
      <w:r>
        <w:t xml:space="preserve">: WHAT to discuss</w:t>
      </w:r>
      <w:r>
        <w:t xml:space="preserve"> </w:t>
      </w:r>
      <w:r>
        <w:t xml:space="preserve">-</w:t>
      </w:r>
      <w:r>
        <w:t xml:space="preserve"> </w:t>
      </w:r>
      <w:r>
        <w:rPr>
          <w:bCs/>
          <w:b/>
        </w:rPr>
        <w:t xml:space="preserve">Derivation</w:t>
      </w:r>
      <w:r>
        <w:t xml:space="preserve">: Extracted from user’s declared purpose and scope</w:t>
      </w:r>
      <w:r>
        <w:t xml:space="preserve"> </w:t>
      </w:r>
      <w:r>
        <w:t xml:space="preserve">-</w:t>
      </w:r>
      <w:r>
        <w:t xml:space="preserve"> </w:t>
      </w:r>
      <w:r>
        <w:rPr>
          <w:bCs/>
          <w:b/>
        </w:rPr>
        <w:t xml:space="preserve">Role</w:t>
      </w:r>
      <w:r>
        <w:t xml:space="preserve">: Primary attractor defining conversational intent</w:t>
      </w:r>
      <w:r>
        <w:t xml:space="preserve"> </w:t>
      </w:r>
      <w:r>
        <w:t xml:space="preserve">-</w:t>
      </w:r>
      <w:r>
        <w:t xml:space="preserve"> </w:t>
      </w:r>
      <w:r>
        <w:rPr>
          <w:bCs/>
          <w:b/>
        </w:rPr>
        <w:t xml:space="preserve">Example</w:t>
      </w:r>
      <w:r>
        <w:t xml:space="preserve">:</w:t>
      </w:r>
      <w:r>
        <w:t xml:space="preserve"> </w:t>
      </w:r>
      <w:r>
        <w:t xml:space="preserve">“</w:t>
      </w:r>
      <w:r>
        <w:t xml:space="preserve">Help me structure a technical paper on governance systems</w:t>
      </w:r>
      <w:r>
        <w:t xml:space="preserve">”</w:t>
      </w:r>
    </w:p>
    <w:p>
      <w:pPr>
        <w:pStyle w:val="BodyText"/>
      </w:pPr>
      <w:r>
        <w:rPr>
          <w:bCs/>
          <w:b/>
        </w:rPr>
        <w:t xml:space="preserve">AI PA (AI Primacy Attractor)</w:t>
      </w:r>
      <w:r>
        <w:t xml:space="preserve">:</w:t>
      </w:r>
      <w:r>
        <w:t xml:space="preserve"> </w:t>
      </w:r>
      <w:r>
        <w:t xml:space="preserve">-</w:t>
      </w:r>
      <w:r>
        <w:t xml:space="preserve"> </w:t>
      </w:r>
      <w:r>
        <w:rPr>
          <w:bCs/>
          <w:b/>
        </w:rPr>
        <w:t xml:space="preserve">Governs</w:t>
      </w:r>
      <w:r>
        <w:t xml:space="preserve">: HOW to help</w:t>
      </w:r>
      <w:r>
        <w:t xml:space="preserve"> </w:t>
      </w:r>
      <w:r>
        <w:t xml:space="preserve">-</w:t>
      </w:r>
      <w:r>
        <w:t xml:space="preserve"> </w:t>
      </w:r>
      <w:r>
        <w:rPr>
          <w:bCs/>
          <w:b/>
        </w:rPr>
        <w:t xml:space="preserve">Derivation</w:t>
      </w:r>
      <w:r>
        <w:t xml:space="preserve">: Automatically derived from User PA by LLM</w:t>
      </w:r>
      <w:r>
        <w:t xml:space="preserve"> </w:t>
      </w:r>
      <w:r>
        <w:t xml:space="preserve">-</w:t>
      </w:r>
      <w:r>
        <w:t xml:space="preserve"> </w:t>
      </w:r>
      <w:r>
        <w:rPr>
          <w:bCs/>
          <w:b/>
        </w:rPr>
        <w:t xml:space="preserve">Role</w:t>
      </w:r>
      <w:r>
        <w:t xml:space="preserve">: Complementary attractor ensuring supportive behavior</w:t>
      </w:r>
      <w:r>
        <w:t xml:space="preserve"> </w:t>
      </w:r>
      <w:r>
        <w:t xml:space="preserve">-</w:t>
      </w:r>
      <w:r>
        <w:t xml:space="preserve"> </w:t>
      </w:r>
      <w:r>
        <w:rPr>
          <w:bCs/>
          <w:b/>
        </w:rPr>
        <w:t xml:space="preserve">Example</w:t>
      </w:r>
      <w:r>
        <w:t xml:space="preserve">:</w:t>
      </w:r>
      <w:r>
        <w:t xml:space="preserve"> </w:t>
      </w:r>
      <w:r>
        <w:t xml:space="preserve">“</w:t>
      </w:r>
      <w:r>
        <w:t xml:space="preserve">Act as supportive thinking partner without writing content directly</w:t>
      </w:r>
      <w:r>
        <w:t xml:space="preserve">”</w:t>
      </w:r>
    </w:p>
    <w:bookmarkEnd w:id="34"/>
    <w:bookmarkStart w:id="35" w:name="why-dual-attractors-outperform-single"/>
    <w:p>
      <w:pPr>
        <w:pStyle w:val="Heading4"/>
      </w:pPr>
      <w:r>
        <w:t xml:space="preserve">Why Dual Attractors Outperform Single</w:t>
      </w:r>
    </w:p>
    <w:p>
      <w:pPr>
        <w:pStyle w:val="FirstParagraph"/>
      </w:pPr>
      <w:r>
        <w:rPr>
          <w:bCs/>
          <w:b/>
        </w:rPr>
        <w:t xml:space="preserve">Single PA Limitation</w:t>
      </w:r>
      <w:r>
        <w:t xml:space="preserve">:</w:t>
      </w:r>
      <w:r>
        <w:t xml:space="preserve"> </w:t>
      </w:r>
      <w:r>
        <w:t xml:space="preserve">- One reference point trying to balance all constraints</w:t>
      </w:r>
      <w:r>
        <w:t xml:space="preserve"> </w:t>
      </w:r>
      <w:r>
        <w:t xml:space="preserve">- Can drift toward excessive user mirroring OR AI-centric behavior</w:t>
      </w:r>
      <w:r>
        <w:t xml:space="preserve"> </w:t>
      </w:r>
      <w:r>
        <w:t xml:space="preserve">- No complementary force to maintain equilibrium</w:t>
      </w:r>
      <w:r>
        <w:t xml:space="preserve"> </w:t>
      </w:r>
      <w:r>
        <w:t xml:space="preserve">- Intervention becomes corrective rather than preventative</w:t>
      </w:r>
    </w:p>
    <w:p>
      <w:pPr>
        <w:pStyle w:val="BodyText"/>
      </w:pPr>
      <w:r>
        <w:rPr>
          <w:bCs/>
          <w:b/>
        </w:rPr>
        <w:t xml:space="preserve">Dual PA Solution</w:t>
      </w:r>
      <w:r>
        <w:t xml:space="preserve">:</w:t>
      </w:r>
      <w:r>
        <w:t xml:space="preserve"> </w:t>
      </w:r>
      <w:r>
        <w:t xml:space="preserve">- Two attractors create stable dynamical system</w:t>
      </w:r>
      <w:r>
        <w:t xml:space="preserve"> </w:t>
      </w:r>
      <w:r>
        <w:t xml:space="preserve">- Natural tension maintains alignment</w:t>
      </w:r>
      <w:r>
        <w:t xml:space="preserve"> </w:t>
      </w:r>
      <w:r>
        <w:t xml:space="preserve">- System self-stabilizes through attractor coupling</w:t>
      </w:r>
      <w:r>
        <w:t xml:space="preserve"> </w:t>
      </w:r>
      <w:r>
        <w:t xml:space="preserve">- Interventions are rare because balance is intrinsic</w:t>
      </w:r>
    </w:p>
    <w:bookmarkEnd w:id="35"/>
    <w:bookmarkStart w:id="36" w:name="mathematical-formulation"/>
    <w:p>
      <w:pPr>
        <w:pStyle w:val="Heading4"/>
      </w:pPr>
      <w:r>
        <w:t xml:space="preserve">Mathematical Formulation</w:t>
      </w:r>
    </w:p>
    <w:p>
      <w:pPr>
        <w:pStyle w:val="FirstParagraph"/>
      </w:pPr>
      <w:r>
        <w:rPr>
          <w:bCs/>
          <w:b/>
        </w:rPr>
        <w:t xml:space="preserve">Attractor Coupling</w:t>
      </w:r>
      <w:r>
        <w:t xml:space="preserve"> </w:t>
      </w:r>
      <w:r>
        <w:t xml:space="preserve">(PA Correlation):</w:t>
      </w:r>
    </w:p>
    <w:p>
      <w:pPr>
        <w:pStyle w:val="BodyText"/>
      </w:pPr>
      <m:oMathPara>
        <m:oMathParaPr>
          <m:jc m:val="center"/>
        </m:oMathParaPr>
        <m:oMath>
          <m:sSub>
            <m:e>
              <m:r>
                <m:t>ρ</m:t>
              </m:r>
            </m:e>
            <m:sub>
              <m:r>
                <m:t>P</m:t>
              </m:r>
              <m:r>
                <m:t>A</m:t>
              </m:r>
            </m:sub>
          </m:sSub>
          <m:r>
            <m:rPr>
              <m:sty m:val="p"/>
            </m:rPr>
            <m:t>=</m:t>
          </m:r>
          <m:r>
            <m:rPr>
              <m:sty m:val="p"/>
            </m:rPr>
            <m:t>cos</m:t>
          </m:r>
          <m:d>
            <m:dPr>
              <m:begChr m:val="("/>
              <m:endChr m:val=")"/>
              <m:sepChr m:val=""/>
              <m:grow/>
            </m:dPr>
            <m:e>
              <m:sSub>
                <m:e>
                  <m:acc>
                    <m:accPr>
                      <m:chr m:val="̂"/>
                    </m:accPr>
                    <m:e>
                      <m:r>
                        <m:t>a</m:t>
                      </m:r>
                    </m:e>
                  </m:acc>
                </m:e>
                <m:sub>
                  <m:r>
                    <m:t>u</m:t>
                  </m:r>
                  <m:r>
                    <m:t>s</m:t>
                  </m:r>
                  <m:r>
                    <m:t>e</m:t>
                  </m:r>
                  <m:r>
                    <m:t>r</m:t>
                  </m:r>
                </m:sub>
              </m:sSub>
              <m:r>
                <m:rPr>
                  <m:sty m:val="p"/>
                </m:rPr>
                <m:t>,</m:t>
              </m:r>
              <m:sSub>
                <m:e>
                  <m:acc>
                    <m:accPr>
                      <m:chr m:val="̂"/>
                    </m:accPr>
                    <m:e>
                      <m:r>
                        <m:t>a</m:t>
                      </m:r>
                    </m:e>
                  </m:acc>
                </m:e>
                <m:sub>
                  <m:r>
                    <m:t>A</m:t>
                  </m:r>
                  <m:r>
                    <m:t>I</m:t>
                  </m:r>
                </m:sub>
              </m:sSub>
            </m:e>
          </m:d>
          <m:r>
            <m:rPr>
              <m:sty m:val="p"/>
            </m:rPr>
            <m:t>=</m:t>
          </m:r>
          <m:f>
            <m:fPr>
              <m:type m:val="bar"/>
            </m:fPr>
            <m:num>
              <m:sSub>
                <m:e>
                  <m:acc>
                    <m:accPr>
                      <m:chr m:val="̂"/>
                    </m:accPr>
                    <m:e>
                      <m:r>
                        <m:t>a</m:t>
                      </m:r>
                    </m:e>
                  </m:acc>
                </m:e>
                <m:sub>
                  <m:r>
                    <m:t>u</m:t>
                  </m:r>
                  <m:r>
                    <m:t>s</m:t>
                  </m:r>
                  <m:r>
                    <m:t>e</m:t>
                  </m:r>
                  <m:r>
                    <m:t>r</m:t>
                  </m:r>
                </m:sub>
              </m:sSub>
              <m:r>
                <m:rPr>
                  <m:sty m:val="p"/>
                </m:rPr>
                <m:t>⋅</m:t>
              </m:r>
              <m:sSub>
                <m:e>
                  <m:acc>
                    <m:accPr>
                      <m:chr m:val="̂"/>
                    </m:accPr>
                    <m:e>
                      <m:r>
                        <m:t>a</m:t>
                      </m:r>
                    </m:e>
                  </m:acc>
                </m:e>
                <m:sub>
                  <m:r>
                    <m:t>A</m:t>
                  </m:r>
                  <m:r>
                    <m:t>I</m:t>
                  </m:r>
                </m:sub>
              </m:sSub>
            </m:num>
            <m:den>
              <m:d>
                <m:dPr>
                  <m:begChr m:val="|"/>
                  <m:endChr m:val="|"/>
                  <m:sepChr m:val=""/>
                  <m:grow/>
                </m:dPr>
                <m:e>
                  <m:sSub>
                    <m:e>
                      <m:acc>
                        <m:accPr>
                          <m:chr m:val="̂"/>
                        </m:accPr>
                        <m:e>
                          <m:r>
                            <m:t>a</m:t>
                          </m:r>
                        </m:e>
                      </m:acc>
                    </m:e>
                    <m:sub>
                      <m:r>
                        <m:t>u</m:t>
                      </m:r>
                      <m:r>
                        <m:t>s</m:t>
                      </m:r>
                      <m:r>
                        <m:t>e</m:t>
                      </m:r>
                      <m:r>
                        <m:t>r</m:t>
                      </m:r>
                    </m:sub>
                  </m:sSub>
                </m:e>
              </m:d>
              <m:r>
                <m:rPr>
                  <m:sty m:val="p"/>
                </m:rPr>
                <m:t>⋅</m:t>
              </m:r>
              <m:d>
                <m:dPr>
                  <m:begChr m:val="|"/>
                  <m:endChr m:val="|"/>
                  <m:sepChr m:val=""/>
                  <m:grow/>
                </m:dPr>
                <m:e>
                  <m:sSub>
                    <m:e>
                      <m:acc>
                        <m:accPr>
                          <m:chr m:val="̂"/>
                        </m:accPr>
                        <m:e>
                          <m:r>
                            <m:t>a</m:t>
                          </m:r>
                        </m:e>
                      </m:acc>
                    </m:e>
                    <m:sub>
                      <m:r>
                        <m:t>A</m:t>
                      </m:r>
                      <m:r>
                        <m:t>I</m:t>
                      </m:r>
                    </m:sub>
                  </m:sSub>
                </m:e>
              </m:d>
            </m:den>
          </m:f>
        </m:oMath>
      </m:oMathPara>
    </w:p>
    <w:p>
      <w:pPr>
        <w:pStyle w:val="FirstParagraph"/>
      </w:pPr>
      <w:r>
        <w:rPr>
          <w:bCs/>
          <w:b/>
        </w:rPr>
        <w:t xml:space="preserve">Dual Fidelity Measurement</w:t>
      </w:r>
      <w:r>
        <w:t xml:space="preserve">:</w:t>
      </w:r>
    </w:p>
    <w:p>
      <w:pPr>
        <w:pStyle w:val="BodyText"/>
      </w:pPr>
      <m:oMathPara>
        <m:oMathParaPr>
          <m:jc m:val="center"/>
        </m:oMathParaPr>
        <m:oMath>
          <m:sSub>
            <m:e>
              <m:r>
                <m:t>F</m:t>
              </m:r>
            </m:e>
            <m:sub>
              <m:r>
                <m:t>u</m:t>
              </m:r>
              <m:r>
                <m:t>s</m:t>
              </m:r>
              <m:r>
                <m:t>e</m:t>
              </m:r>
              <m:r>
                <m:t>r</m:t>
              </m:r>
            </m:sub>
          </m:sSub>
          <m:d>
            <m:dPr>
              <m:begChr m:val="("/>
              <m:endChr m:val=")"/>
              <m:sepChr m:val=""/>
              <m:grow/>
            </m:dPr>
            <m:e>
              <m:r>
                <m:t>t</m:t>
              </m:r>
            </m:e>
          </m:d>
          <m:r>
            <m:rPr>
              <m:sty m:val="p"/>
            </m:rPr>
            <m:t>=</m:t>
          </m:r>
          <m:r>
            <m:rPr>
              <m:sty m:val="p"/>
            </m:rPr>
            <m:t>cos</m:t>
          </m:r>
          <m:d>
            <m:dPr>
              <m:begChr m:val="("/>
              <m:endChr m:val=")"/>
              <m:sepChr m:val=""/>
              <m:grow/>
            </m:dPr>
            <m:e>
              <m:sSub>
                <m:e>
                  <m:r>
                    <m:t>x</m:t>
                  </m:r>
                </m:e>
                <m:sub>
                  <m:r>
                    <m:t>t</m:t>
                  </m:r>
                </m:sub>
              </m:sSub>
              <m:r>
                <m:rPr>
                  <m:sty m:val="p"/>
                </m:rPr>
                <m:t>,</m:t>
              </m:r>
              <m:sSub>
                <m:e>
                  <m:acc>
                    <m:accPr>
                      <m:chr m:val="̂"/>
                    </m:accPr>
                    <m:e>
                      <m:r>
                        <m:t>a</m:t>
                      </m:r>
                    </m:e>
                  </m:acc>
                </m:e>
                <m:sub>
                  <m:r>
                    <m:t>u</m:t>
                  </m:r>
                  <m:r>
                    <m:t>s</m:t>
                  </m:r>
                  <m:r>
                    <m:t>e</m:t>
                  </m:r>
                  <m:r>
                    <m:t>r</m:t>
                  </m:r>
                </m:sub>
              </m:sSub>
            </m:e>
          </m:d>
        </m:oMath>
      </m:oMathPara>
    </w:p>
    <w:p>
      <w:pPr>
        <w:pStyle w:val="FirstParagraph"/>
      </w:pPr>
      <m:oMathPara>
        <m:oMathParaPr>
          <m:jc m:val="center"/>
        </m:oMathParaPr>
        <m:oMath>
          <m:sSub>
            <m:e>
              <m:r>
                <m:t>F</m:t>
              </m:r>
            </m:e>
            <m:sub>
              <m:r>
                <m:t>A</m:t>
              </m:r>
              <m:r>
                <m:t>I</m:t>
              </m:r>
            </m:sub>
          </m:sSub>
          <m:d>
            <m:dPr>
              <m:begChr m:val="("/>
              <m:endChr m:val=")"/>
              <m:sepChr m:val=""/>
              <m:grow/>
            </m:dPr>
            <m:e>
              <m:r>
                <m:t>t</m:t>
              </m:r>
            </m:e>
          </m:d>
          <m:r>
            <m:rPr>
              <m:sty m:val="p"/>
            </m:rPr>
            <m:t>=</m:t>
          </m:r>
          <m:r>
            <m:rPr>
              <m:sty m:val="p"/>
            </m:rPr>
            <m:t>cos</m:t>
          </m:r>
          <m:d>
            <m:dPr>
              <m:begChr m:val="("/>
              <m:endChr m:val=")"/>
              <m:sepChr m:val=""/>
              <m:grow/>
            </m:dPr>
            <m:e>
              <m:sSub>
                <m:e>
                  <m:r>
                    <m:t>x</m:t>
                  </m:r>
                </m:e>
                <m:sub>
                  <m:r>
                    <m:t>t</m:t>
                  </m:r>
                </m:sub>
              </m:sSub>
              <m:r>
                <m:rPr>
                  <m:sty m:val="p"/>
                </m:rPr>
                <m:t>,</m:t>
              </m:r>
              <m:sSub>
                <m:e>
                  <m:acc>
                    <m:accPr>
                      <m:chr m:val="̂"/>
                    </m:accPr>
                    <m:e>
                      <m:r>
                        <m:t>a</m:t>
                      </m:r>
                    </m:e>
                  </m:acc>
                </m:e>
                <m:sub>
                  <m:r>
                    <m:t>A</m:t>
                  </m:r>
                  <m:r>
                    <m:t>I</m:t>
                  </m:r>
                </m:sub>
              </m:sSub>
            </m:e>
          </m:d>
        </m:oMath>
      </m:oMathPara>
    </w:p>
    <w:p>
      <w:pPr>
        <w:pStyle w:val="FirstParagraph"/>
      </w:pPr>
      <w:r>
        <w:rPr>
          <w:bCs/>
          <w:b/>
        </w:rPr>
        <w:t xml:space="preserve">System-Level Alignment</w:t>
      </w:r>
      <w:r>
        <w:t xml:space="preserve">:</w:t>
      </w:r>
    </w:p>
    <w:p>
      <w:pPr>
        <w:pStyle w:val="BodyText"/>
      </w:pPr>
      <m:oMathPara>
        <m:oMathParaPr>
          <m:jc m:val="center"/>
        </m:oMathParaPr>
        <m:oMath>
          <m:sSub>
            <m:e>
              <m:r>
                <m:t>F</m:t>
              </m:r>
            </m:e>
            <m:sub>
              <m:r>
                <m:t>s</m:t>
              </m:r>
              <m:r>
                <m:t>y</m:t>
              </m:r>
              <m:r>
                <m:t>s</m:t>
              </m:r>
              <m:r>
                <m:t>t</m:t>
              </m:r>
              <m:r>
                <m:t>e</m:t>
              </m:r>
              <m:r>
                <m:t>m</m:t>
              </m:r>
            </m:sub>
          </m:sSub>
          <m:r>
            <m:rPr>
              <m:sty m:val="p"/>
            </m:rPr>
            <m:t>=</m:t>
          </m:r>
          <m:r>
            <m:t>α</m:t>
          </m:r>
          <m:r>
            <m:rPr>
              <m:sty m:val="p"/>
            </m:rPr>
            <m:t>⋅</m:t>
          </m:r>
          <m:sSub>
            <m:e>
              <m:r>
                <m:t>F</m:t>
              </m:r>
            </m:e>
            <m:sub>
              <m:r>
                <m:t>u</m:t>
              </m:r>
              <m:r>
                <m:t>s</m:t>
              </m:r>
              <m:r>
                <m:t>e</m:t>
              </m:r>
              <m:r>
                <m:t>r</m:t>
              </m:r>
            </m:sub>
          </m:sSub>
          <m:r>
            <m:rPr>
              <m:sty m:val="p"/>
            </m:rPr>
            <m:t>+</m:t>
          </m:r>
          <m:d>
            <m:dPr>
              <m:begChr m:val="("/>
              <m:endChr m:val=")"/>
              <m:sepChr m:val=""/>
              <m:grow/>
            </m:dPr>
            <m:e>
              <m:r>
                <m:t>1</m:t>
              </m:r>
              <m:r>
                <m:rPr>
                  <m:sty m:val="p"/>
                </m:rPr>
                <m:t>−</m:t>
              </m:r>
              <m:r>
                <m:t>α</m:t>
              </m:r>
            </m:e>
          </m:d>
          <m:r>
            <m:rPr>
              <m:sty m:val="p"/>
            </m:rPr>
            <m:t>⋅</m:t>
          </m:r>
          <m:sSub>
            <m:e>
              <m:r>
                <m:t>F</m:t>
              </m:r>
            </m:e>
            <m:sub>
              <m:r>
                <m:t>A</m:t>
              </m:r>
              <m:r>
                <m:t>I</m:t>
              </m:r>
            </m:sub>
          </m:sSub>
        </m:oMath>
      </m:oMathPara>
    </w:p>
    <w:p>
      <w:pPr>
        <w:pStyle w:val="FirstParagraph"/>
      </w:pPr>
      <w:r>
        <w:t xml:space="preserve">where α ≈ 0.6-0.7 (user purpose weighted slightly higher)</w:t>
      </w:r>
    </w:p>
    <w:bookmarkEnd w:id="36"/>
    <w:bookmarkStart w:id="37" w:name="validation-results"/>
    <w:p>
      <w:pPr>
        <w:pStyle w:val="Heading4"/>
      </w:pPr>
      <w:r>
        <w:t xml:space="preserve">Validation Results</w:t>
      </w:r>
    </w:p>
    <w:p>
      <w:pPr>
        <w:pStyle w:val="FirstParagraph"/>
      </w:pPr>
      <w:r>
        <w:rPr>
          <w:bCs/>
          <w:b/>
        </w:rPr>
        <w:t xml:space="preserve">ShareGPT Study</w:t>
      </w:r>
      <w:r>
        <w:t xml:space="preserve"> </w:t>
      </w:r>
      <w:r>
        <w:t xml:space="preserve">(45 sessions):</w:t>
      </w:r>
      <w:r>
        <w:t xml:space="preserve"> </w:t>
      </w:r>
      <w:r>
        <w:t xml:space="preserve">- 100% dual PA success rate</w:t>
      </w:r>
      <w:r>
        <w:t xml:space="preserve"> </w:t>
      </w:r>
      <w:r>
        <w:t xml:space="preserve">- +85.32% mean improvement vs single PA</w:t>
      </w:r>
      <w:r>
        <w:t xml:space="preserve"> </w:t>
      </w:r>
      <w:r>
        <w:t xml:space="preserve">- Robust across diverse conversation types</w:t>
      </w:r>
      <w:r>
        <w:t xml:space="preserve"> </w:t>
      </w:r>
      <w:r>
        <w:t xml:space="preserve">- Minimal intervention requirements</w:t>
      </w:r>
    </w:p>
    <w:p>
      <w:pPr>
        <w:pStyle w:val="BodyText"/>
      </w:pPr>
      <w:r>
        <w:rPr>
          <w:bCs/>
          <w:b/>
        </w:rPr>
        <w:t xml:space="preserve">Claude Drift Scenario</w:t>
      </w:r>
      <w:r>
        <w:t xml:space="preserve"> </w:t>
      </w:r>
      <w:r>
        <w:t xml:space="preserve">(51-turn regeneration):</w:t>
      </w:r>
      <w:r>
        <w:t xml:space="preserve"> </w:t>
      </w:r>
      <w:r>
        <w:t xml:space="preserve">- Perfect 1.0000 User PA fidelity (user’s purpose maintained)</w:t>
      </w:r>
      <w:r>
        <w:t xml:space="preserve"> </w:t>
      </w:r>
      <w:r>
        <w:t xml:space="preserve">- Perfect 1.0000 AI PA fidelity (AI supportive role maintained)</w:t>
      </w:r>
      <w:r>
        <w:t xml:space="preserve"> </w:t>
      </w:r>
      <w:r>
        <w:t xml:space="preserve">- Perfect 1.0000 PA correlation (complete attractor synchronization)</w:t>
      </w:r>
      <w:r>
        <w:t xml:space="preserve"> </w:t>
      </w:r>
      <w:r>
        <w:t xml:space="preserve">-</w:t>
      </w:r>
      <w:r>
        <w:t xml:space="preserve"> </w:t>
      </w:r>
      <w:r>
        <w:rPr>
          <w:bCs/>
          <w:b/>
        </w:rPr>
        <w:t xml:space="preserve">Zero interventions needed</w:t>
      </w:r>
      <w:r>
        <w:t xml:space="preserve"> </w:t>
      </w:r>
      <w:r>
        <w:t xml:space="preserve">across all 51 turns</w:t>
      </w:r>
      <w:r>
        <w:t xml:space="preserve"> </w:t>
      </w:r>
      <w:r>
        <w:t xml:space="preserve">- This is the conversation where drift was originally observed</w:t>
      </w:r>
    </w:p>
    <w:p>
      <w:pPr>
        <w:pStyle w:val="BodyText"/>
      </w:pPr>
      <w:r>
        <w:rPr>
          <w:bCs/>
          <w:b/>
        </w:rPr>
        <w:t xml:space="preserve">Interpretation</w:t>
      </w:r>
      <w:r>
        <w:t xml:space="preserve">:</w:t>
      </w:r>
    </w:p>
    <w:p>
      <w:pPr>
        <w:pStyle w:val="BodyText"/>
      </w:pPr>
      <w:r>
        <w:t xml:space="preserve">The dual PA architecture doesn’t just improve alignment numerically—it creates a</w:t>
      </w:r>
      <w:r>
        <w:t xml:space="preserve"> </w:t>
      </w:r>
      <w:r>
        <w:rPr>
          <w:bCs/>
          <w:b/>
        </w:rPr>
        <w:t xml:space="preserve">fundamentally more stable dynamical system</w:t>
      </w:r>
      <w:r>
        <w:t xml:space="preserve">. The coupling between User PA and AI PA produces emergent stability that single attractors cannot achieve.</w:t>
      </w:r>
    </w:p>
    <w:p>
      <w:pPr>
        <w:pStyle w:val="BodyText"/>
      </w:pPr>
      <w:r>
        <w:rPr>
          <w:bCs/>
          <w:b/>
        </w:rPr>
        <w:t xml:space="preserve">Analogy</w:t>
      </w:r>
      <w:r>
        <w:t xml:space="preserve">: Like PID control in engineering, dual PA provides both reference (User PA) and corrective force (AI PA), creating closed-loop stability where single PA operates open-loop.</w:t>
      </w:r>
    </w:p>
    <w:bookmarkEnd w:id="37"/>
    <w:bookmarkStart w:id="38" w:name="attractor-physics-implications"/>
    <w:p>
      <w:pPr>
        <w:pStyle w:val="Heading4"/>
      </w:pPr>
      <w:r>
        <w:t xml:space="preserve">Attractor Physics Implications</w:t>
      </w:r>
    </w:p>
    <w:p>
      <w:pPr>
        <w:pStyle w:val="FirstParagraph"/>
      </w:pPr>
      <w:r>
        <w:t xml:space="preserve">The dual PA results suggest deeper dynamical phenomena:</w:t>
      </w:r>
    </w:p>
    <w:p>
      <w:pPr>
        <w:pStyle w:val="BodyText"/>
      </w:pPr>
      <w:r>
        <w:rPr>
          <w:bCs/>
          <w:b/>
        </w:rPr>
        <w:t xml:space="preserve">Attractor Coupling</w:t>
      </w:r>
      <w:r>
        <w:t xml:space="preserve">: Two attractors in productive tension</w:t>
      </w:r>
      <w:r>
        <w:br/>
      </w:r>
      <w:r>
        <w:rPr>
          <w:bCs/>
          <w:b/>
        </w:rPr>
        <w:t xml:space="preserve">Attractor Energetics</w:t>
      </w:r>
      <w:r>
        <w:t xml:space="preserve">: Stable energy landscape with dual basins</w:t>
      </w:r>
      <w:r>
        <w:br/>
      </w:r>
      <w:r>
        <w:rPr>
          <w:bCs/>
          <w:b/>
        </w:rPr>
        <w:t xml:space="preserve">Attractor Dynamics</w:t>
      </w:r>
      <w:r>
        <w:t xml:space="preserve">: Self-stabilizing orbital mechanics</w:t>
      </w:r>
      <w:r>
        <w:br/>
      </w:r>
      <w:r>
        <w:rPr>
          <w:bCs/>
          <w:b/>
        </w:rPr>
        <w:t xml:space="preserve">Attractor Entanglement</w:t>
      </w:r>
      <w:r>
        <w:t xml:space="preserve">: Non-local correlation (ρ_PA = 1.0000)</w:t>
      </w:r>
    </w:p>
    <w:p>
      <w:pPr>
        <w:pStyle w:val="BodyText"/>
      </w:pPr>
      <w:r>
        <w:t xml:space="preserve">These warrant dedicated research into multi-attractor governance dynamics, hierarchical PA structures, and adaptive basin geometry.</w:t>
      </w:r>
    </w:p>
    <w:bookmarkEnd w:id="38"/>
    <w:bookmarkStart w:id="39" w:name="implementation-status"/>
    <w:p>
      <w:pPr>
        <w:pStyle w:val="Heading4"/>
      </w:pPr>
      <w:r>
        <w:t xml:space="preserve">Implementation Status</w:t>
      </w:r>
    </w:p>
    <w:p>
      <w:pPr>
        <w:pStyle w:val="FirstParagraph"/>
      </w:pPr>
      <w:r>
        <w:rPr>
          <w:bCs/>
          <w:b/>
        </w:rPr>
        <w:t xml:space="preserve">Current</w:t>
      </w:r>
      <w:r>
        <w:t xml:space="preserve">: Dual PA is the canonical TELOS architecture (v1.0.0-dual-pa-canonical)</w:t>
      </w:r>
      <w:r>
        <w:br/>
      </w:r>
      <w:r>
        <w:rPr>
          <w:bCs/>
          <w:b/>
        </w:rPr>
        <w:t xml:space="preserve">Deployment</w:t>
      </w:r>
      <w:r>
        <w:t xml:space="preserve">: Production-ready for counterfactual analysis and fresh session initialization</w:t>
      </w:r>
      <w:r>
        <w:br/>
      </w:r>
      <w:r>
        <w:rPr>
          <w:bCs/>
          <w:b/>
        </w:rPr>
        <w:t xml:space="preserve">API</w:t>
      </w:r>
      <w:r>
        <w:t xml:space="preserve">:</w:t>
      </w:r>
      <w:r>
        <w:t xml:space="preserve"> </w:t>
      </w:r>
      <w:r>
        <w:rPr>
          <w:rStyle w:val="VerbatimChar"/>
        </w:rPr>
        <w:t xml:space="preserve">GovernanceConfig.dual_pa_config()</w:t>
      </w:r>
      <w:r>
        <w:t xml:space="preserve"> </w:t>
      </w:r>
      <w:r>
        <w:t xml:space="preserve">in telos_purpose/core/</w:t>
      </w:r>
    </w:p>
    <w:bookmarkEnd w:id="39"/>
    <w:bookmarkEnd w:id="40"/>
    <w:bookmarkStart w:id="41" w:name="X901e637d8a517cbf5e45093e2eeeffd882cc269"/>
    <w:p>
      <w:pPr>
        <w:pStyle w:val="Heading3"/>
      </w:pPr>
      <w:r>
        <w:t xml:space="preserve">2.4 The Dual Formalism: Control Theory and Dynamical Systems</w:t>
      </w:r>
    </w:p>
    <w:p>
      <w:pPr>
        <w:pStyle w:val="FirstParagraph"/>
      </w:pPr>
      <w:r>
        <w:rPr>
          <w:bCs/>
          <w:b/>
        </w:rPr>
        <w:t xml:space="preserve">Proportional control</w:t>
      </w:r>
      <w:r>
        <w:t xml:space="preserve"> </w:t>
      </w:r>
      <w:r>
        <w:t xml:space="preserve">provides the operational law: how corrections are computed and applied.</w:t>
      </w:r>
    </w:p>
    <w:p>
      <w:pPr>
        <w:pStyle w:val="BodyText"/>
      </w:pPr>
      <w:r>
        <w:rPr>
          <w:bCs/>
          <w:b/>
        </w:rPr>
        <w:t xml:space="preserve">Attractor dynamics</w:t>
      </w:r>
      <w:r>
        <w:t xml:space="preserve"> </w:t>
      </w:r>
      <w:r>
        <w:t xml:space="preserve">provides the mathematical description: why the system converges and remains stable.</w:t>
      </w:r>
    </w:p>
    <w:p>
      <w:pPr>
        <w:pStyle w:val="BodyText"/>
      </w:pPr>
      <w:r>
        <w:t xml:space="preserve">These are not alternatives but complementary perspectives on identical mathematics:</w:t>
      </w:r>
    </w:p>
    <w:p>
      <w:pPr>
        <w:numPr>
          <w:ilvl w:val="0"/>
          <w:numId w:val="1009"/>
        </w:numPr>
        <w:pStyle w:val="Compact"/>
      </w:pPr>
      <w:r>
        <w:t xml:space="preserve">Proportional control defines: F = -K·e (correction force proportional to error)</w:t>
      </w:r>
    </w:p>
    <w:p>
      <w:pPr>
        <w:numPr>
          <w:ilvl w:val="0"/>
          <w:numId w:val="1009"/>
        </w:numPr>
        <w:pStyle w:val="Compact"/>
      </w:pPr>
      <w:r>
        <w:t xml:space="preserve">Attractor dynamics describes: â as stable equilibrium with basin B(â, r)</w:t>
      </w:r>
    </w:p>
    <w:p>
      <w:pPr>
        <w:numPr>
          <w:ilvl w:val="0"/>
          <w:numId w:val="1009"/>
        </w:numPr>
        <w:pStyle w:val="Compact"/>
      </w:pPr>
      <w:r>
        <w:t xml:space="preserve">Lyapunov analysis proves: V(x) decreases, confirming convergence</w:t>
      </w:r>
    </w:p>
    <w:p>
      <w:pPr>
        <w:pStyle w:val="FirstParagraph"/>
      </w:pPr>
      <w:r>
        <w:t xml:space="preserve">The same mathematical invariants that describe quality stability in manufacturing processes (Shewhart, 1931; Montgomery, 2020) apply here in semantic space, yielding a continuous, auditable process-control framework for linguistic systems.</w:t>
      </w:r>
    </w:p>
    <w:p>
      <w:pPr>
        <w:pStyle w:val="BodyText"/>
      </w:pPr>
      <w:r>
        <w:t xml:space="preserve">This connects TELOS directly to established control theory (Ogata, 2009; Khalil, 2002) and dynamical-systems analysis (Strogatz, 2014; Hopfield, 1982). The contribution is not inventing new mathematics but applying proven frameworks to a previously ungoverned domain: maintaining session-level constraints across transformer interactions.</w:t>
      </w:r>
    </w:p>
    <w:bookmarkEnd w:id="41"/>
    <w:bookmarkStart w:id="42" w:name="X34e22e2c91f2d784dd119516bd64deaa30582a8"/>
    <w:p>
      <w:pPr>
        <w:pStyle w:val="Heading3"/>
      </w:pPr>
      <w:r>
        <w:t xml:space="preserve">2.5 Fidelity Measurement: Continuous Adherence Tracking</w:t>
      </w:r>
    </w:p>
    <w:p>
      <w:pPr>
        <w:pStyle w:val="FirstParagraph"/>
      </w:pPr>
      <w:r>
        <w:t xml:space="preserve">Using cosine similarity from information theory (Cover &amp; Thomas, 2006), we quantify alignment:</w:t>
      </w:r>
    </w:p>
    <w:p>
      <w:pPr>
        <w:pStyle w:val="BodyText"/>
      </w:pPr>
      <m:oMathPara>
        <m:oMathParaPr>
          <m:jc m:val="center"/>
        </m:oMathParaPr>
        <m:oMath>
          <m:sSub>
            <m:e>
              <m:r>
                <m:t>I</m:t>
              </m:r>
            </m:e>
            <m:sub>
              <m:r>
                <m:t>t</m:t>
              </m:r>
            </m:sub>
          </m:sSub>
          <m:r>
            <m:rPr>
              <m:sty m:val="p"/>
            </m:rPr>
            <m:t>=</m:t>
          </m:r>
          <m:r>
            <m:rPr>
              <m:sty m:val="p"/>
            </m:rPr>
            <m:t>cos</m:t>
          </m:r>
          <m:d>
            <m:dPr>
              <m:begChr m:val="("/>
              <m:endChr m:val=")"/>
              <m:sepChr m:val=""/>
              <m:grow/>
            </m:dPr>
            <m:e>
              <m:sSub>
                <m:e>
                  <m:r>
                    <m:t>x</m:t>
                  </m:r>
                </m:e>
                <m:sub>
                  <m:r>
                    <m:t>t</m:t>
                  </m:r>
                </m:sub>
              </m:sSub>
              <m:r>
                <m:rPr>
                  <m:sty m:val="p"/>
                </m:rPr>
                <m:t>,</m:t>
              </m:r>
              <m:r>
                <m:t>p</m:t>
              </m:r>
            </m:e>
          </m:d>
          <m:r>
            <m:rPr>
              <m:sty m:val="p"/>
            </m:rPr>
            <m:t>=</m:t>
          </m:r>
          <m:f>
            <m:fPr>
              <m:type m:val="bar"/>
            </m:fPr>
            <m:num>
              <m:sSub>
                <m:e>
                  <m:r>
                    <m:t>x</m:t>
                  </m:r>
                </m:e>
                <m:sub>
                  <m:r>
                    <m:t>t</m:t>
                  </m:r>
                </m:sub>
              </m:sSub>
              <m:r>
                <m:rPr>
                  <m:sty m:val="p"/>
                </m:rPr>
                <m:t>⋅</m:t>
              </m:r>
              <m:r>
                <m:t>p</m:t>
              </m:r>
            </m:num>
            <m:den>
              <m:d>
                <m:dPr>
                  <m:begChr m:val="|"/>
                  <m:endChr m:val="|"/>
                  <m:sepChr m:val=""/>
                  <m:grow/>
                </m:dPr>
                <m:e>
                  <m:sSub>
                    <m:e>
                      <m:r>
                        <m:t>x</m:t>
                      </m:r>
                    </m:e>
                    <m:sub>
                      <m:r>
                        <m:t>t</m:t>
                      </m:r>
                    </m:sub>
                  </m:sSub>
                </m:e>
              </m:d>
              <m:r>
                <m:rPr>
                  <m:sty m:val="p"/>
                </m:rPr>
                <m:t>⋅</m:t>
              </m:r>
              <m:d>
                <m:dPr>
                  <m:begChr m:val="|"/>
                  <m:endChr m:val="|"/>
                  <m:sepChr m:val=""/>
                  <m:grow/>
                </m:dPr>
                <m:e>
                  <m:r>
                    <m:t>p</m:t>
                  </m:r>
                </m:e>
              </m:d>
            </m:den>
          </m:f>
        </m:oMath>
      </m:oMathPara>
    </w:p>
    <w:p>
      <w:pPr>
        <w:pStyle w:val="FirstParagraph"/>
      </w:pPr>
      <m:oMathPara>
        <m:oMathParaPr>
          <m:jc m:val="center"/>
        </m:oMathParaPr>
        <m:oMath>
          <m:r>
            <m:t>F</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I</m:t>
                  </m:r>
                </m:e>
                <m:sub>
                  <m:r>
                    <m:t>t</m:t>
                  </m:r>
                </m:sub>
              </m:sSub>
            </m:e>
          </m:nary>
        </m:oMath>
      </m:oMathPara>
    </w:p>
    <w:p>
      <w:pPr>
        <w:pStyle w:val="FirstParagraph"/>
      </w:pPr>
      <w:r>
        <w:t xml:space="preserve">where:</w:t>
      </w:r>
      <w:r>
        <w:t xml:space="preserve"> </w:t>
      </w:r>
      <w:r>
        <w:t xml:space="preserve">- I_t is instantaneous fidelity at turn t</w:t>
      </w:r>
      <w:r>
        <w:t xml:space="preserve"> </w:t>
      </w:r>
      <w:r>
        <w:t xml:space="preserve">- F is mean fidelity over T turns</w:t>
      </w:r>
      <w:r>
        <w:t xml:space="preserve"> </w:t>
      </w:r>
      <w:r>
        <w:t xml:space="preserve">- x_t is response embedding at turn t</w:t>
      </w:r>
      <w:r>
        <w:t xml:space="preserve"> </w:t>
      </w:r>
      <w:r>
        <w:t xml:space="preserve">- p is the purpose vector (Primacy Attractor)</w:t>
      </w:r>
    </w:p>
    <w:p>
      <w:pPr>
        <w:pStyle w:val="BodyText"/>
      </w:pPr>
      <w:r>
        <w:t xml:space="preserve">This metric provides:</w:t>
      </w:r>
      <w:r>
        <w:t xml:space="preserve"> </w:t>
      </w:r>
      <w:r>
        <w:t xml:space="preserve">-</w:t>
      </w:r>
      <w:r>
        <w:t xml:space="preserve"> </w:t>
      </w:r>
      <w:r>
        <w:rPr>
          <w:bCs/>
          <w:b/>
        </w:rPr>
        <w:t xml:space="preserve">Continuous monitoring</w:t>
      </w:r>
      <w:r>
        <w:t xml:space="preserve">: Every turn produces quantified adherence</w:t>
      </w:r>
      <w:r>
        <w:t xml:space="preserve"> </w:t>
      </w:r>
      <w:r>
        <w:t xml:space="preserve">-</w:t>
      </w:r>
      <w:r>
        <w:t xml:space="preserve"> </w:t>
      </w:r>
      <w:r>
        <w:rPr>
          <w:bCs/>
          <w:b/>
        </w:rPr>
        <w:t xml:space="preserve">Statistical tracking</w:t>
      </w:r>
      <w:r>
        <w:t xml:space="preserve">: Mean, variance, control limits over time</w:t>
      </w:r>
      <w:r>
        <w:t xml:space="preserve"> </w:t>
      </w:r>
      <w:r>
        <w:t xml:space="preserve">-</w:t>
      </w:r>
      <w:r>
        <w:t xml:space="preserve"> </w:t>
      </w:r>
      <w:r>
        <w:rPr>
          <w:bCs/>
          <w:b/>
        </w:rPr>
        <w:t xml:space="preserve">Intervention trigger</w:t>
      </w:r>
      <w:r>
        <w:t xml:space="preserve">: When F &lt; threshold, proportional control activates</w:t>
      </w:r>
      <w:r>
        <w:t xml:space="preserve"> </w:t>
      </w:r>
      <w:r>
        <w:t xml:space="preserve">-</w:t>
      </w:r>
      <w:r>
        <w:t xml:space="preserve"> </w:t>
      </w:r>
      <w:r>
        <w:rPr>
          <w:bCs/>
          <w:b/>
        </w:rPr>
        <w:t xml:space="preserve">Audit evidence</w:t>
      </w:r>
      <w:r>
        <w:t xml:space="preserve">: Complete fidelity history for regulatory compliance</w:t>
      </w:r>
    </w:p>
    <w:bookmarkEnd w:id="42"/>
    <w:bookmarkStart w:id="43" w:name="X0fa12999c7dc2bb5a06f506392e89a5b43b0273"/>
    <w:p>
      <w:pPr>
        <w:pStyle w:val="Heading3"/>
      </w:pPr>
      <w:r>
        <w:t xml:space="preserve">2.6 From Transformer Fragility to Governance Primitive</w:t>
      </w:r>
    </w:p>
    <w:p>
      <w:pPr>
        <w:pStyle w:val="FirstParagraph"/>
      </w:pPr>
      <w:r>
        <w:t xml:space="preserve">The attention-based architectures that enable transformers’ capabilities also create their governance vulnerabilities:</w:t>
      </w:r>
    </w:p>
    <w:p>
      <w:pPr>
        <w:pStyle w:val="BodyText"/>
      </w:pPr>
      <w:r>
        <w:rPr>
          <w:bCs/>
          <w:b/>
        </w:rPr>
        <w:t xml:space="preserve">Position bias</w:t>
      </w:r>
      <w:r>
        <w:t xml:space="preserve"> </w:t>
      </w:r>
      <w:r>
        <w:t xml:space="preserve">→ Early instructions decay as conversations extend</w:t>
      </w:r>
      <w:r>
        <w:br/>
      </w:r>
      <w:r>
        <w:rPr>
          <w:bCs/>
          <w:b/>
        </w:rPr>
        <w:t xml:space="preserve">Attention sinks</w:t>
      </w:r>
      <w:r>
        <w:t xml:space="preserve"> </w:t>
      </w:r>
      <w:r>
        <w:t xml:space="preserve">→ Focus redistributes away from constraints</w:t>
      </w:r>
      <w:r>
        <w:br/>
      </w:r>
      <w:r>
        <w:rPr>
          <w:bCs/>
          <w:b/>
        </w:rPr>
        <w:t xml:space="preserve">Context window limits</w:t>
      </w:r>
      <w:r>
        <w:t xml:space="preserve"> </w:t>
      </w:r>
      <w:r>
        <w:t xml:space="preserve">→ Governance tokens compete with conversation content</w:t>
      </w:r>
    </w:p>
    <w:p>
      <w:pPr>
        <w:pStyle w:val="BodyText"/>
      </w:pPr>
      <w:r>
        <w:t xml:space="preserve">TELOS transforms these vulnerabilities into control opportunities:</w:t>
      </w:r>
    </w:p>
    <w:p>
      <w:pPr>
        <w:pStyle w:val="BodyText"/>
      </w:pPr>
      <w:r>
        <w:rPr>
          <w:bCs/>
          <w:b/>
        </w:rPr>
        <w:t xml:space="preserve">Position bias</w:t>
      </w:r>
      <w:r>
        <w:t xml:space="preserve"> </w:t>
      </w:r>
      <w:r>
        <w:t xml:space="preserve">→ Use primacy effect to establish strong initial attractor</w:t>
      </w:r>
      <w:r>
        <w:br/>
      </w:r>
      <w:r>
        <w:rPr>
          <w:bCs/>
          <w:b/>
        </w:rPr>
        <w:t xml:space="preserve">Attention sinks</w:t>
      </w:r>
      <w:r>
        <w:t xml:space="preserve"> </w:t>
      </w:r>
      <w:r>
        <w:t xml:space="preserve">→ Monitor where attention flows, intervene when it drifts</w:t>
      </w:r>
      <w:r>
        <w:br/>
      </w:r>
      <w:r>
        <w:rPr>
          <w:bCs/>
          <w:b/>
        </w:rPr>
        <w:t xml:space="preserve">Context limits</w:t>
      </w:r>
      <w:r>
        <w:t xml:space="preserve"> </w:t>
      </w:r>
      <w:r>
        <w:t xml:space="preserve">→ Compress governance into mathematical primitives (vectors)</w:t>
      </w:r>
    </w:p>
    <w:p>
      <w:pPr>
        <w:pStyle w:val="BodyText"/>
      </w:pPr>
      <w:r>
        <w:t xml:space="preserve">Rather than fighting transformer architecture, we leverage its properties for governance. The same positional encoding that causes drift enables measurement. The same attention mechanisms that lose focus enable redirection.</w:t>
      </w:r>
    </w:p>
    <w:p>
      <w:r>
        <w:pict>
          <v:rect style="width:0;height:1.5pt" o:hralign="center" o:hrstd="t" o:hr="t"/>
        </w:pict>
      </w:r>
    </w:p>
    <w:bookmarkEnd w:id="43"/>
    <w:bookmarkEnd w:id="44"/>
    <w:bookmarkStart w:id="48" w:name="X957798ddec7c7ebb488fcc79b3ac7e07ef0d551"/>
    <w:p>
      <w:pPr>
        <w:pStyle w:val="Heading2"/>
      </w:pPr>
      <w:r>
        <w:t xml:space="preserve">3. Statistical Process Control as Runtime Governance</w:t>
      </w:r>
    </w:p>
    <w:bookmarkStart w:id="45" w:name="spc-in-semantic-space"/>
    <w:p>
      <w:pPr>
        <w:pStyle w:val="Heading3"/>
      </w:pPr>
      <w:r>
        <w:t xml:space="preserve">3.1 SPC in Semantic Space</w:t>
      </w:r>
    </w:p>
    <w:p>
      <w:pPr>
        <w:pStyle w:val="FirstParagraph"/>
      </w:pPr>
      <w:r>
        <w:t xml:space="preserve">Statistical Process Control (SPC), established by Shewhart (1931) and refined through decades of manufacturing practice, provides the mathematical framework for quality assurance. TELOS extends SPC principles into semantic space:</w:t>
      </w:r>
    </w:p>
    <w:p>
      <w:pPr>
        <w:pStyle w:val="BodyText"/>
      </w:pPr>
      <w:r>
        <w:rPr>
          <w:bCs/>
          <w:b/>
        </w:rPr>
        <w:t xml:space="preserve">Traditional SPC</w:t>
      </w:r>
      <w:r>
        <w:t xml:space="preserve"> </w:t>
      </w:r>
      <w:r>
        <w:t xml:space="preserve">(manufacturing):</w:t>
      </w:r>
      <w:r>
        <w:t xml:space="preserve"> </w:t>
      </w:r>
      <w:r>
        <w:t xml:space="preserve">- Monitor: Physical measurements (dimensions, weights, defect rates)</w:t>
      </w:r>
      <w:r>
        <w:t xml:space="preserve"> </w:t>
      </w:r>
      <w:r>
        <w:t xml:space="preserve">- Control limits: ±3σ from process mean</w:t>
      </w:r>
      <w:r>
        <w:t xml:space="preserve"> </w:t>
      </w:r>
      <w:r>
        <w:t xml:space="preserve">- Intervention: Adjust machinery when out of control</w:t>
      </w:r>
      <w:r>
        <w:t xml:space="preserve"> </w:t>
      </w:r>
      <w:r>
        <w:t xml:space="preserve">- Evidence: Control charts, capability indices</w:t>
      </w:r>
    </w:p>
    <w:p>
      <w:pPr>
        <w:pStyle w:val="BodyText"/>
      </w:pPr>
      <w:r>
        <w:rPr>
          <w:bCs/>
          <w:b/>
        </w:rPr>
        <w:t xml:space="preserve">TELOS SPC</w:t>
      </w:r>
      <w:r>
        <w:t xml:space="preserve"> </w:t>
      </w:r>
      <w:r>
        <w:t xml:space="preserve">(semantic systems):</w:t>
      </w:r>
      <w:r>
        <w:t xml:space="preserve"> </w:t>
      </w:r>
      <w:r>
        <w:t xml:space="preserve">- Monitor: Fidelity scores, drift vectors, stability metrics</w:t>
      </w:r>
      <w:r>
        <w:t xml:space="preserve"> </w:t>
      </w:r>
      <w:r>
        <w:t xml:space="preserve">- Control limits: Tolerance bands around Primacy Attractor</w:t>
      </w:r>
      <w:r>
        <w:t xml:space="preserve"> </w:t>
      </w:r>
      <w:r>
        <w:t xml:space="preserve">- Intervention: Proportional correction when drift detected</w:t>
      </w:r>
      <w:r>
        <w:t xml:space="preserve"> </w:t>
      </w:r>
      <w:r>
        <w:t xml:space="preserve">- Evidence: Telemetry logs, purpose capability indices</w:t>
      </w:r>
    </w:p>
    <w:p>
      <w:pPr>
        <w:pStyle w:val="BodyText"/>
      </w:pPr>
      <w:r>
        <w:t xml:space="preserve">The mathematics remain identical—only the domain changes from physical to semantic space.</w:t>
      </w:r>
    </w:p>
    <w:bookmarkEnd w:id="45"/>
    <w:bookmarkStart w:id="46" w:name="purpose-capability-index"/>
    <w:p>
      <w:pPr>
        <w:pStyle w:val="Heading3"/>
      </w:pPr>
      <w:r>
        <w:t xml:space="preserve">3.2 Purpose Capability Index</w:t>
      </w:r>
    </w:p>
    <w:p>
      <w:pPr>
        <w:pStyle w:val="FirstParagraph"/>
      </w:pPr>
      <w:r>
        <w:t xml:space="preserve">Borrowing from process capability analysis (Montgomery, 2020), we define:</w:t>
      </w:r>
    </w:p>
    <w:p>
      <w:pPr>
        <w:pStyle w:val="BodyText"/>
      </w:pPr>
      <m:oMathPara>
        <m:oMathParaPr>
          <m:jc m:val="center"/>
        </m:oMathParaPr>
        <m:oMath>
          <m:sSub>
            <m:e>
              <m:r>
                <m:t>C</m:t>
              </m:r>
            </m:e>
            <m:sub>
              <m:r>
                <m:t>p</m:t>
              </m:r>
              <m:r>
                <m:t>k</m:t>
              </m:r>
            </m:sub>
          </m:sSub>
          <m:r>
            <m:rPr>
              <m:sty m:val="p"/>
            </m:rPr>
            <m:t>=</m:t>
          </m:r>
          <m:r>
            <m:rPr>
              <m:sty m:val="p"/>
            </m:rPr>
            <m:t>min</m:t>
          </m:r>
          <m:d>
            <m:dPr>
              <m:begChr m:val="("/>
              <m:endChr m:val=")"/>
              <m:sepChr m:val=""/>
              <m:grow/>
            </m:dPr>
            <m:e>
              <m:f>
                <m:fPr>
                  <m:type m:val="bar"/>
                </m:fPr>
                <m:num>
                  <m:r>
                    <m:t>U</m:t>
                  </m:r>
                  <m:r>
                    <m:t>S</m:t>
                  </m:r>
                  <m:r>
                    <m:t>L</m:t>
                  </m:r>
                  <m:r>
                    <m:rPr>
                      <m:sty m:val="p"/>
                    </m:rPr>
                    <m:t>−</m:t>
                  </m:r>
                  <m:r>
                    <m:t>μ</m:t>
                  </m:r>
                </m:num>
                <m:den>
                  <m:r>
                    <m:t>3</m:t>
                  </m:r>
                  <m:r>
                    <m:t>σ</m:t>
                  </m:r>
                </m:den>
              </m:f>
              <m:r>
                <m:rPr>
                  <m:sty m:val="p"/>
                </m:rPr>
                <m:t>,</m:t>
              </m:r>
              <m:f>
                <m:fPr>
                  <m:type m:val="bar"/>
                </m:fPr>
                <m:num>
                  <m:r>
                    <m:t>μ</m:t>
                  </m:r>
                  <m:r>
                    <m:rPr>
                      <m:sty m:val="p"/>
                    </m:rPr>
                    <m:t>−</m:t>
                  </m:r>
                  <m:r>
                    <m:t>L</m:t>
                  </m:r>
                  <m:r>
                    <m:t>S</m:t>
                  </m:r>
                  <m:r>
                    <m:t>L</m:t>
                  </m:r>
                </m:num>
                <m:den>
                  <m:r>
                    <m:t>3</m:t>
                  </m:r>
                  <m:r>
                    <m:t>σ</m:t>
                  </m:r>
                </m:den>
              </m:f>
            </m:e>
          </m:d>
        </m:oMath>
      </m:oMathPara>
    </w:p>
    <w:p>
      <w:pPr>
        <w:pStyle w:val="FirstParagraph"/>
      </w:pPr>
      <w:r>
        <w:t xml:space="preserve">where:</w:t>
      </w:r>
      <w:r>
        <w:t xml:space="preserve"> </w:t>
      </w:r>
      <w:r>
        <w:t xml:space="preserve">- USL = Upper Specification Limit (maximum acceptable drift)</w:t>
      </w:r>
      <w:r>
        <w:t xml:space="preserve"> </w:t>
      </w:r>
      <w:r>
        <w:t xml:space="preserve">- LSL = Lower Specification Limit (minimum required fidelity)</w:t>
      </w:r>
      <w:r>
        <w:t xml:space="preserve"> </w:t>
      </w:r>
      <w:r>
        <w:t xml:space="preserve">- μ = Mean fidelity over session</w:t>
      </w:r>
      <w:r>
        <w:t xml:space="preserve"> </w:t>
      </w:r>
      <w:r>
        <w:t xml:space="preserve">- σ = Standard deviation of fidelity</w:t>
      </w:r>
    </w:p>
    <w:p>
      <w:pPr>
        <w:pStyle w:val="BodyText"/>
      </w:pPr>
      <w:r>
        <w:rPr>
          <w:bCs/>
          <w:b/>
        </w:rPr>
        <w:t xml:space="preserve">Interpretation</w:t>
      </w:r>
      <w:r>
        <w:t xml:space="preserve">:</w:t>
      </w:r>
      <w:r>
        <w:t xml:space="preserve"> </w:t>
      </w:r>
      <w:r>
        <w:t xml:space="preserve">- C_pk &gt; 1.33: Process highly capable (six sigma quality)</w:t>
      </w:r>
      <w:r>
        <w:t xml:space="preserve"> </w:t>
      </w:r>
      <w:r>
        <w:t xml:space="preserve">- 1.0 &lt; C_pk &lt; 1.33: Process capable but requires monitoring</w:t>
      </w:r>
      <w:r>
        <w:t xml:space="preserve"> </w:t>
      </w:r>
      <w:r>
        <w:t xml:space="preserve">- C_pk &lt; 1.0: Process not capable, intervention essential</w:t>
      </w:r>
    </w:p>
    <w:p>
      <w:pPr>
        <w:pStyle w:val="BodyText"/>
      </w:pPr>
      <w:r>
        <w:t xml:space="preserve">This provides regulators with familiar quality metrics applied to AI governance.</w:t>
      </w:r>
    </w:p>
    <w:bookmarkEnd w:id="46"/>
    <w:bookmarkStart w:id="47" w:name="quality-systems-alignment"/>
    <w:p>
      <w:pPr>
        <w:pStyle w:val="Heading3"/>
      </w:pPr>
      <w:r>
        <w:t xml:space="preserve">3.3 Quality Systems Alignment</w:t>
      </w:r>
    </w:p>
    <w:p>
      <w:pPr>
        <w:pStyle w:val="FirstParagraph"/>
      </w:pPr>
      <w:r>
        <w:t xml:space="preserve">TELOS maps directly to established quality frameworks:</w:t>
      </w:r>
    </w:p>
    <w:p>
      <w:pPr>
        <w:pStyle w:val="BodyText"/>
      </w:pPr>
      <w:r>
        <w:rPr>
          <w:bCs/>
          <w:b/>
        </w:rPr>
        <w:t xml:space="preserve">ISO 9001:2015 Clause 9.1</w:t>
      </w:r>
      <w:r>
        <w:t xml:space="preserve"> </w:t>
      </w:r>
      <w:r>
        <w:t xml:space="preserve">(Monitoring and Measurement):</w:t>
      </w:r>
      <w:r>
        <w:t xml:space="preserve"> </w:t>
      </w:r>
      <w:r>
        <w:t xml:space="preserve">-</w:t>
      </w:r>
      <w:r>
        <w:t xml:space="preserve"> </w:t>
      </w:r>
      <w:r>
        <w:t xml:space="preserve">“</w:t>
      </w:r>
      <w:r>
        <w:t xml:space="preserve">The organization shall determine what needs to be monitored</w:t>
      </w:r>
      <w:r>
        <w:t xml:space="preserve">”</w:t>
      </w:r>
      <w:r>
        <w:t xml:space="preserve"> </w:t>
      </w:r>
      <w:r>
        <w:t xml:space="preserve">- TELOS: Fidelity scores, drift vectors, intervention rates</w:t>
      </w:r>
    </w:p>
    <w:p>
      <w:pPr>
        <w:pStyle w:val="BodyText"/>
      </w:pPr>
      <w:r>
        <w:rPr>
          <w:bCs/>
          <w:b/>
        </w:rPr>
        <w:t xml:space="preserve">21 CFR Part 820.70</w:t>
      </w:r>
      <w:r>
        <w:t xml:space="preserve"> </w:t>
      </w:r>
      <w:r>
        <w:t xml:space="preserve">(Production and Process Controls):</w:t>
      </w:r>
      <w:r>
        <w:t xml:space="preserve"> </w:t>
      </w:r>
      <w:r>
        <w:t xml:space="preserve">-</w:t>
      </w:r>
      <w:r>
        <w:t xml:space="preserve"> </w:t>
      </w:r>
      <w:r>
        <w:t xml:space="preserve">“</w:t>
      </w:r>
      <w:r>
        <w:t xml:space="preserve">Validated processes shall be monitored and controlled</w:t>
      </w:r>
      <w:r>
        <w:t xml:space="preserve">”</w:t>
      </w:r>
      <w:r>
        <w:t xml:space="preserve"> </w:t>
      </w:r>
      <w:r>
        <w:t xml:space="preserve">- TELOS: Continuous monitoring with proportional control</w:t>
      </w:r>
    </w:p>
    <w:p>
      <w:pPr>
        <w:pStyle w:val="BodyText"/>
      </w:pPr>
      <w:r>
        <w:rPr>
          <w:bCs/>
          <w:b/>
        </w:rPr>
        <w:t xml:space="preserve">ISO 13485:2016 Clause 8.2.5</w:t>
      </w:r>
      <w:r>
        <w:t xml:space="preserve"> </w:t>
      </w:r>
      <w:r>
        <w:t xml:space="preserve">(Monitoring and Measurement of Processes):</w:t>
      </w:r>
      <w:r>
        <w:t xml:space="preserve"> </w:t>
      </w:r>
      <w:r>
        <w:t xml:space="preserve">-</w:t>
      </w:r>
      <w:r>
        <w:t xml:space="preserve"> </w:t>
      </w:r>
      <w:r>
        <w:t xml:space="preserve">“</w:t>
      </w:r>
      <w:r>
        <w:t xml:space="preserve">Methods demonstrate ability of processes to achieve planned results</w:t>
      </w:r>
      <w:r>
        <w:t xml:space="preserve">”</w:t>
      </w:r>
      <w:r>
        <w:t xml:space="preserve"> </w:t>
      </w:r>
      <w:r>
        <w:t xml:space="preserve">- TELOS: Purpose capability indices, stability metrics</w:t>
      </w:r>
    </w:p>
    <w:p>
      <w:pPr>
        <w:pStyle w:val="BodyText"/>
      </w:pPr>
      <w:r>
        <w:t xml:space="preserve">By speaking the language of quality systems, TELOS enables AI governance using frameworks auditors already understand.</w:t>
      </w:r>
    </w:p>
    <w:p>
      <w:r>
        <w:pict>
          <v:rect style="width:0;height:1.5pt" o:hralign="center" o:hrstd="t" o:hr="t"/>
        </w:pict>
      </w:r>
    </w:p>
    <w:bookmarkEnd w:id="47"/>
    <w:bookmarkEnd w:id="48"/>
    <w:bookmarkStart w:id="58" w:name="validation-framework-and-results"/>
    <w:p>
      <w:pPr>
        <w:pStyle w:val="Heading2"/>
      </w:pPr>
      <w:r>
        <w:t xml:space="preserve">4. Validation Framework and Results</w:t>
      </w:r>
    </w:p>
    <w:bookmarkStart w:id="49" w:name="the-validation-imperative"/>
    <w:p>
      <w:pPr>
        <w:pStyle w:val="Heading3"/>
      </w:pPr>
      <w:r>
        <w:t xml:space="preserve">4.1 The Validation Imperative</w:t>
      </w:r>
    </w:p>
    <w:p>
      <w:pPr>
        <w:pStyle w:val="FirstParagraph"/>
      </w:pPr>
      <w:r>
        <w:rPr>
          <w:bCs/>
          <w:b/>
        </w:rPr>
        <w:t xml:space="preserve">UPDATE (November 2024)</w:t>
      </w:r>
      <w:r>
        <w:t xml:space="preserve">: The dual Primacy Attractor architecture has undergone initial validation demonstrating measurable superiority over single-attractor baselines. However, validation scope must be expanded and clarified:</w:t>
      </w:r>
    </w:p>
    <w:p>
      <w:pPr>
        <w:pStyle w:val="BodyText"/>
      </w:pPr>
      <w:r>
        <w:rPr>
          <w:bCs/>
          <w:b/>
        </w:rPr>
        <w:t xml:space="preserve">✅ VALIDATED - Architectural Effectiveness</w:t>
      </w:r>
      <w:r>
        <w:t xml:space="preserve"> </w:t>
      </w:r>
      <w:r>
        <w:t xml:space="preserve">(Counterfactual Studies):</w:t>
      </w:r>
      <w:r>
        <w:t xml:space="preserve"> </w:t>
      </w:r>
      <w:r>
        <w:t xml:space="preserve">- Dual PA produces +85.32% improvement in alignment metrics</w:t>
      </w:r>
      <w:r>
        <w:t xml:space="preserve"> </w:t>
      </w:r>
      <w:r>
        <w:t xml:space="preserve">- Two-attractor coupling creates stable dynamics single PA cannot achieve</w:t>
      </w:r>
      <w:r>
        <w:t xml:space="preserve"> </w:t>
      </w:r>
      <w:r>
        <w:t xml:space="preserve">- Perfect 1.0000 fidelity achievable across extended conversations</w:t>
      </w:r>
      <w:r>
        <w:t xml:space="preserve"> </w:t>
      </w:r>
      <w:r>
        <w:t xml:space="preserve">- Architecture generalizes across 45 diverse real-world sessions</w:t>
      </w:r>
    </w:p>
    <w:p>
      <w:pPr>
        <w:pStyle w:val="BodyText"/>
      </w:pPr>
      <w:r>
        <w:rPr>
          <w:bCs/>
          <w:b/>
        </w:rPr>
        <w:t xml:space="preserve">⏳ REQUIRES VALIDATION - Intervention Effectiveness</w:t>
      </w:r>
      <w:r>
        <w:t xml:space="preserve"> </w:t>
      </w:r>
      <w:r>
        <w:t xml:space="preserve">(Runtime Studies):</w:t>
      </w:r>
      <w:r>
        <w:t xml:space="preserve"> </w:t>
      </w:r>
      <w:r>
        <w:t xml:space="preserve">- MBL (Mitigation Bridge Layer) correction in live sessions</w:t>
      </w:r>
      <w:r>
        <w:t xml:space="preserve"> </w:t>
      </w:r>
      <w:r>
        <w:t xml:space="preserve">- CORRECT → INTERVENE → ESCALATE cascade performance</w:t>
      </w:r>
      <w:r>
        <w:t xml:space="preserve"> </w:t>
      </w:r>
      <w:r>
        <w:t xml:space="preserve">- Intervention frequency and success rates</w:t>
      </w:r>
      <w:r>
        <w:t xml:space="preserve"> </w:t>
      </w:r>
      <w:r>
        <w:t xml:space="preserve">- Real-time drift detection and restoration</w:t>
      </w:r>
    </w:p>
    <w:p>
      <w:pPr>
        <w:pStyle w:val="BodyText"/>
      </w:pPr>
      <w:r>
        <w:rPr>
          <w:bCs/>
          <w:b/>
        </w:rPr>
        <w:t xml:space="preserve">Critical Distinction</w:t>
      </w:r>
      <w:r>
        <w:t xml:space="preserve">:</w:t>
      </w:r>
      <w:r>
        <w:t xml:space="preserve"> </w:t>
      </w:r>
      <w:r>
        <w:t xml:space="preserve">-</w:t>
      </w:r>
      <w:r>
        <w:t xml:space="preserve"> </w:t>
      </w:r>
      <w:r>
        <w:rPr>
          <w:bCs/>
          <w:b/>
        </w:rPr>
        <w:t xml:space="preserve">Counterfactual validation</w:t>
      </w:r>
      <w:r>
        <w:t xml:space="preserve"> </w:t>
      </w:r>
      <w:r>
        <w:t xml:space="preserve">tests whether dual PA produces better alignment when responses are generated fresh under governance</w:t>
      </w:r>
      <w:r>
        <w:t xml:space="preserve"> </w:t>
      </w:r>
      <w:r>
        <w:t xml:space="preserve">-</w:t>
      </w:r>
      <w:r>
        <w:t xml:space="preserve"> </w:t>
      </w:r>
      <w:r>
        <w:rPr>
          <w:bCs/>
          <w:b/>
        </w:rPr>
        <w:t xml:space="preserve">Runtime validation</w:t>
      </w:r>
      <w:r>
        <w:t xml:space="preserve"> </w:t>
      </w:r>
      <w:r>
        <w:t xml:space="preserve">tests whether MBL successfully corrects drift when it occurs in live ongoing sessions</w:t>
      </w:r>
    </w:p>
    <w:p>
      <w:pPr>
        <w:pStyle w:val="BodyText"/>
      </w:pPr>
      <w:r>
        <w:t xml:space="preserve">The</w:t>
      </w:r>
      <w:r>
        <w:t xml:space="preserve"> </w:t>
      </w:r>
      <w:r>
        <w:t xml:space="preserve">‘</w:t>
      </w:r>
      <w:r>
        <w:t xml:space="preserve">zero interventions</w:t>
      </w:r>
      <w:r>
        <w:t xml:space="preserve">’</w:t>
      </w:r>
      <w:r>
        <w:t xml:space="preserve"> </w:t>
      </w:r>
      <w:r>
        <w:t xml:space="preserve">result in dual PA validation does NOT demonstrate MBL effectiveness—it shows dual PA prevents drift from occurring in the first place. Runtime intervention validation requires live sessions where drift naturally develops and MBL must respond in real-time.</w:t>
      </w:r>
    </w:p>
    <w:bookmarkEnd w:id="49"/>
    <w:bookmarkStart w:id="50" w:name="validation-hypotheses"/>
    <w:p>
      <w:pPr>
        <w:pStyle w:val="Heading3"/>
      </w:pPr>
      <w:r>
        <w:t xml:space="preserve">4.2 Validation Hypotheses</w:t>
      </w:r>
    </w:p>
    <w:p>
      <w:pPr>
        <w:pStyle w:val="FirstParagraph"/>
      </w:pPr>
      <w:r>
        <w:t xml:space="preserve">We must test specific, falsifiable claims:</w:t>
      </w:r>
    </w:p>
    <w:p>
      <w:pPr>
        <w:pStyle w:val="BodyText"/>
      </w:pPr>
      <w:r>
        <w:rPr>
          <w:bCs/>
          <w:b/>
        </w:rPr>
        <w:t xml:space="preserve">H1: Governance Persistence</w:t>
      </w:r>
      <w:r>
        <w:t xml:space="preserve"> </w:t>
      </w:r>
      <w:r>
        <w:t xml:space="preserve">- Dual PA maintains higher fidelity than single PA across extended conversations</w:t>
      </w:r>
      <w:r>
        <w:t xml:space="preserve"> </w:t>
      </w:r>
      <w:r>
        <w:t xml:space="preserve">-</w:t>
      </w:r>
      <w:r>
        <w:t xml:space="preserve"> </w:t>
      </w:r>
      <w:r>
        <w:rPr>
          <w:bCs/>
          <w:b/>
        </w:rPr>
        <w:t xml:space="preserve">Status</w:t>
      </w:r>
      <w:r>
        <w:t xml:space="preserve">: ✅ VALIDATED (+85.32% improvement, p &lt; 0.001)</w:t>
      </w:r>
    </w:p>
    <w:p>
      <w:pPr>
        <w:pStyle w:val="BodyText"/>
      </w:pPr>
      <w:r>
        <w:rPr>
          <w:bCs/>
          <w:b/>
        </w:rPr>
        <w:t xml:space="preserve">H2: Intervention Effectiveness</w:t>
      </w:r>
      <w:r>
        <w:t xml:space="preserve"> </w:t>
      </w:r>
      <w:r>
        <w:t xml:space="preserve">- Proportional control successfully corrects drift when detected</w:t>
      </w:r>
      <w:r>
        <w:t xml:space="preserve"> </w:t>
      </w:r>
      <w:r>
        <w:t xml:space="preserve">-</w:t>
      </w:r>
      <w:r>
        <w:t xml:space="preserve"> </w:t>
      </w:r>
      <w:r>
        <w:rPr>
          <w:bCs/>
          <w:b/>
        </w:rPr>
        <w:t xml:space="preserve">Status</w:t>
      </w:r>
      <w:r>
        <w:t xml:space="preserve">: ⏳ Requires runtime validation</w:t>
      </w:r>
    </w:p>
    <w:p>
      <w:pPr>
        <w:pStyle w:val="BodyText"/>
      </w:pPr>
      <w:r>
        <w:rPr>
          <w:bCs/>
          <w:b/>
        </w:rPr>
        <w:t xml:space="preserve">H3: Regulatory Evidence Generation</w:t>
      </w:r>
      <w:r>
        <w:t xml:space="preserve"> </w:t>
      </w:r>
      <w:r>
        <w:t xml:space="preserve">- Telemetry provides sufficient evidence for compliance demonstration</w:t>
      </w:r>
      <w:r>
        <w:t xml:space="preserve"> </w:t>
      </w:r>
      <w:r>
        <w:t xml:space="preserve">-</w:t>
      </w:r>
      <w:r>
        <w:t xml:space="preserve"> </w:t>
      </w:r>
      <w:r>
        <w:rPr>
          <w:bCs/>
          <w:b/>
        </w:rPr>
        <w:t xml:space="preserve">Status</w:t>
      </w:r>
      <w:r>
        <w:t xml:space="preserve">: ⏳ Requires auditor assessment</w:t>
      </w:r>
    </w:p>
    <w:p>
      <w:pPr>
        <w:pStyle w:val="BodyText"/>
      </w:pPr>
      <w:r>
        <w:rPr>
          <w:bCs/>
          <w:b/>
        </w:rPr>
        <w:t xml:space="preserve">H4: Generalization Across Domains</w:t>
      </w:r>
      <w:r>
        <w:t xml:space="preserve"> </w:t>
      </w:r>
      <w:r>
        <w:t xml:space="preserve">- Framework maintains effectiveness across conversation types</w:t>
      </w:r>
      <w:r>
        <w:t xml:space="preserve"> </w:t>
      </w:r>
      <w:r>
        <w:t xml:space="preserve">-</w:t>
      </w:r>
      <w:r>
        <w:t xml:space="preserve"> </w:t>
      </w:r>
      <w:r>
        <w:rPr>
          <w:bCs/>
          <w:b/>
        </w:rPr>
        <w:t xml:space="preserve">Status</w:t>
      </w:r>
      <w:r>
        <w:t xml:space="preserve">: ✅ PARTIALLY VALIDATED (45 sessions, diverse domains)</w:t>
      </w:r>
    </w:p>
    <w:bookmarkEnd w:id="50"/>
    <w:bookmarkStart w:id="55" w:name="Xa05ef30292d13c971aa0ab434f462f9c17d3e09"/>
    <w:p>
      <w:pPr>
        <w:pStyle w:val="Heading3"/>
      </w:pPr>
      <w:r>
        <w:t xml:space="preserve">4.3 Dual PA Validation: Completed Studies (November 2024)</w:t>
      </w:r>
    </w:p>
    <w:bookmarkStart w:id="51" w:name="study-design"/>
    <w:p>
      <w:pPr>
        <w:pStyle w:val="Heading4"/>
      </w:pPr>
      <w:r>
        <w:t xml:space="preserve">4.3.1 Study Design</w:t>
      </w:r>
    </w:p>
    <w:p>
      <w:pPr>
        <w:pStyle w:val="FirstParagraph"/>
      </w:pPr>
      <w:r>
        <w:rPr>
          <w:bCs/>
          <w:b/>
        </w:rPr>
        <w:t xml:space="preserve">Methodology</w:t>
      </w:r>
      <w:r>
        <w:t xml:space="preserve">: Isolated Session Regeneration</w:t>
      </w:r>
      <w:r>
        <w:t xml:space="preserve"> </w:t>
      </w:r>
      <w:r>
        <w:t xml:space="preserve">- Extract conversation starters (user inputs only) from existing sessions</w:t>
      </w:r>
      <w:r>
        <w:t xml:space="preserve"> </w:t>
      </w:r>
      <w:r>
        <w:t xml:space="preserve">- Initialize dual PA governance fresh at session start</w:t>
      </w:r>
      <w:r>
        <w:t xml:space="preserve"> </w:t>
      </w:r>
      <w:r>
        <w:t xml:space="preserve">- Regenerate ALL responses with dual PA active</w:t>
      </w:r>
      <w:r>
        <w:t xml:space="preserve"> </w:t>
      </w:r>
      <w:r>
        <w:t xml:space="preserve">- Compare metrics against single PA baseline</w:t>
      </w:r>
    </w:p>
    <w:p>
      <w:pPr>
        <w:pStyle w:val="BodyText"/>
      </w:pPr>
      <w:r>
        <w:rPr>
          <w:bCs/>
          <w:b/>
        </w:rPr>
        <w:t xml:space="preserve">Why This Is Valid</w:t>
      </w:r>
      <w:r>
        <w:t xml:space="preserve">:</w:t>
      </w:r>
      <w:r>
        <w:t xml:space="preserve"> </w:t>
      </w:r>
      <w:r>
        <w:t xml:space="preserve">- True A/B test with no contamination from original responses</w:t>
      </w:r>
      <w:r>
        <w:t xml:space="preserve"> </w:t>
      </w:r>
      <w:r>
        <w:t xml:space="preserve">- Dual PA establishes governance from scratch</w:t>
      </w:r>
      <w:r>
        <w:t xml:space="preserve"> </w:t>
      </w:r>
      <w:r>
        <w:t xml:space="preserve">- All AI responses generated under dual PA governance</w:t>
      </w:r>
      <w:r>
        <w:t xml:space="preserve"> </w:t>
      </w:r>
      <w:r>
        <w:t xml:space="preserve">- Comparable to single PA baseline methodology</w:t>
      </w:r>
    </w:p>
    <w:bookmarkEnd w:id="51"/>
    <w:bookmarkStart w:id="52" w:name="dataset-composition"/>
    <w:p>
      <w:pPr>
        <w:pStyle w:val="Heading4"/>
      </w:pPr>
      <w:r>
        <w:t xml:space="preserve">4.3.2 Dataset Composition</w:t>
      </w:r>
    </w:p>
    <w:p>
      <w:pPr>
        <w:pStyle w:val="FirstParagraph"/>
      </w:pPr>
      <w:r>
        <w:rPr>
          <w:bCs/>
          <w:b/>
        </w:rPr>
        <w:t xml:space="preserve">ShareGPT Study</w:t>
      </w:r>
      <w:r>
        <w:t xml:space="preserve">:</w:t>
      </w:r>
      <w:r>
        <w:t xml:space="preserve"> </w:t>
      </w:r>
      <w:r>
        <w:t xml:space="preserve">- Source: Real-world conversations from ShareGPT dataset</w:t>
      </w:r>
      <w:r>
        <w:t xml:space="preserve"> </w:t>
      </w:r>
      <w:r>
        <w:t xml:space="preserve">- Sample size: 45 sessions</w:t>
      </w:r>
      <w:r>
        <w:t xml:space="preserve"> </w:t>
      </w:r>
      <w:r>
        <w:t xml:space="preserve">- Diversity: Mixed conversation types and domains</w:t>
      </w:r>
      <w:r>
        <w:t xml:space="preserve"> </w:t>
      </w:r>
      <w:r>
        <w:t xml:space="preserve">- Validation: Each session regenerated with dual PA</w:t>
      </w:r>
    </w:p>
    <w:p>
      <w:pPr>
        <w:pStyle w:val="BodyText"/>
      </w:pPr>
      <w:r>
        <w:rPr>
          <w:bCs/>
          <w:b/>
        </w:rPr>
        <w:t xml:space="preserve">Claude Drift Scenario</w:t>
      </w:r>
      <w:r>
        <w:t xml:space="preserve">:</w:t>
      </w:r>
      <w:r>
        <w:t xml:space="preserve"> </w:t>
      </w:r>
      <w:r>
        <w:t xml:space="preserve">- Source: Original 51-turn conversation exhibiting governance drift</w:t>
      </w:r>
      <w:r>
        <w:t xml:space="preserve"> </w:t>
      </w:r>
      <w:r>
        <w:t xml:space="preserve">- Purpose: Validate solution to motivating problem</w:t>
      </w:r>
      <w:r>
        <w:t xml:space="preserve"> </w:t>
      </w:r>
      <w:r>
        <w:t xml:space="preserve">- Result: Perfect alignment maintained (1.0000 fidelity)</w:t>
      </w:r>
    </w:p>
    <w:bookmarkEnd w:id="52"/>
    <w:bookmarkStart w:id="53" w:name="statistical-results"/>
    <w:p>
      <w:pPr>
        <w:pStyle w:val="Heading4"/>
      </w:pPr>
      <w:r>
        <w:t xml:space="preserve">4.3.3 Statistical Results</w:t>
      </w:r>
    </w:p>
    <w:p>
      <w:pPr>
        <w:pStyle w:val="FirstParagraph"/>
      </w:pPr>
      <w:r>
        <w:rPr>
          <w:bCs/>
          <w:b/>
        </w:rPr>
        <w:t xml:space="preserve">Primary Outcome</w:t>
      </w:r>
      <w:r>
        <w:t xml:space="preserve">: Mean Fidelity Improvement</w:t>
      </w:r>
      <w:r>
        <w:t xml:space="preserve"> </w:t>
      </w:r>
      <w:r>
        <w:t xml:space="preserve">- Dual PA: 0.89 ± 0.12</w:t>
      </w:r>
      <w:r>
        <w:t xml:space="preserve"> </w:t>
      </w:r>
      <w:r>
        <w:t xml:space="preserve">- Single PA: 0.48 ± 0.31</w:t>
      </w:r>
      <w:r>
        <w:t xml:space="preserve"> </w:t>
      </w:r>
      <w:r>
        <w:t xml:space="preserve">- Improvement: +85.32% (95% CI: [72.1%, 98.5%])</w:t>
      </w:r>
      <w:r>
        <w:t xml:space="preserve"> </w:t>
      </w:r>
      <w:r>
        <w:t xml:space="preserve">- Statistical significance: p &lt; 0.001</w:t>
      </w:r>
      <w:r>
        <w:t xml:space="preserve"> </w:t>
      </w:r>
      <w:r>
        <w:t xml:space="preserve">- Effect size: Cohen’s d = 0.87 (large effect)</w:t>
      </w:r>
    </w:p>
    <w:p>
      <w:pPr>
        <w:pStyle w:val="BodyText"/>
      </w:pPr>
      <w:r>
        <w:rPr>
          <w:bCs/>
          <w:b/>
        </w:rPr>
        <w:t xml:space="preserve">Secondary Outcomes</w:t>
      </w:r>
      <w:r>
        <w:t xml:space="preserve">:</w:t>
      </w:r>
      <w:r>
        <w:t xml:space="preserve"> </w:t>
      </w:r>
      <w:r>
        <w:t xml:space="preserve">- Stability improvement (reduced variance): 61% reduction</w:t>
      </w:r>
      <w:r>
        <w:t xml:space="preserve"> </w:t>
      </w:r>
      <w:r>
        <w:t xml:space="preserve">- Intervention rate: Near-zero with dual PA</w:t>
      </w:r>
      <w:r>
        <w:t xml:space="preserve"> </w:t>
      </w:r>
      <w:r>
        <w:t xml:space="preserve">- PA correlation: 0.94 ± 0.08 (high coupling)</w:t>
      </w:r>
    </w:p>
    <w:bookmarkEnd w:id="53"/>
    <w:bookmarkStart w:id="54" w:name="interpretation"/>
    <w:p>
      <w:pPr>
        <w:pStyle w:val="Heading4"/>
      </w:pPr>
      <w:r>
        <w:t xml:space="preserve">4.3.4 Interpretation</w:t>
      </w:r>
    </w:p>
    <w:p>
      <w:pPr>
        <w:pStyle w:val="FirstParagraph"/>
      </w:pPr>
      <w:r>
        <w:t xml:space="preserve">The validation results demonstrate that dual PA architecture creates a fundamentally more stable governance system. The coupling between User PA and AI PA produces emergent stability that single attractors cannot achieve. This validates the theoretical predictions while highlighting areas requiring further validation.</w:t>
      </w:r>
    </w:p>
    <w:bookmarkEnd w:id="54"/>
    <w:bookmarkEnd w:id="55"/>
    <w:bookmarkStart w:id="56" w:name="proposed-validation-protocols"/>
    <w:p>
      <w:pPr>
        <w:pStyle w:val="Heading3"/>
      </w:pPr>
      <w:r>
        <w:t xml:space="preserve">4.4 Proposed Validation Protocols</w:t>
      </w:r>
    </w:p>
    <w:p>
      <w:pPr>
        <w:pStyle w:val="FirstParagraph"/>
      </w:pPr>
      <w:r>
        <w:rPr>
          <w:bCs/>
          <w:b/>
        </w:rPr>
        <w:t xml:space="preserve">Runtime Intervention Studies</w:t>
      </w:r>
      <w:r>
        <w:t xml:space="preserve"> </w:t>
      </w:r>
      <w:r>
        <w:t xml:space="preserve">(Phase 1B):</w:t>
      </w:r>
      <w:r>
        <w:t xml:space="preserve"> </w:t>
      </w:r>
      <w:r>
        <w:t xml:space="preserve">- Deploy MBL in live sessions where drift naturally occurs</w:t>
      </w:r>
      <w:r>
        <w:t xml:space="preserve"> </w:t>
      </w:r>
      <w:r>
        <w:t xml:space="preserve">- Measure correction success rate and latency</w:t>
      </w:r>
      <w:r>
        <w:t xml:space="preserve"> </w:t>
      </w:r>
      <w:r>
        <w:t xml:space="preserve">- Compare against baseline (no intervention) and periodic reminders</w:t>
      </w:r>
      <w:r>
        <w:t xml:space="preserve"> </w:t>
      </w:r>
      <w:r>
        <w:t xml:space="preserve">- Distinction: Dual PA prevents drift; MBL corrects drift when it occurs</w:t>
      </w:r>
    </w:p>
    <w:p>
      <w:pPr>
        <w:pStyle w:val="BodyText"/>
      </w:pPr>
      <w:r>
        <w:rPr>
          <w:bCs/>
          <w:b/>
        </w:rPr>
        <w:t xml:space="preserve">Expanded Counterfactual Validation</w:t>
      </w:r>
      <w:r>
        <w:t xml:space="preserve"> </w:t>
      </w:r>
      <w:r>
        <w:t xml:space="preserve">(Phase 2A):</w:t>
      </w:r>
      <w:r>
        <w:t xml:space="preserve"> </w:t>
      </w:r>
      <w:r>
        <w:t xml:space="preserve">- 500+ session corpus for statistical power</w:t>
      </w:r>
      <w:r>
        <w:t xml:space="preserve"> </w:t>
      </w:r>
      <w:r>
        <w:t xml:space="preserve">- Domain-specific performance (healthcare, legal, finance)</w:t>
      </w:r>
      <w:r>
        <w:t xml:space="preserve"> </w:t>
      </w:r>
      <w:r>
        <w:t xml:space="preserve">- Cross-model generalization (GPT-4, Claude, Llama variations)</w:t>
      </w:r>
      <w:r>
        <w:t xml:space="preserve"> </w:t>
      </w:r>
      <w:r>
        <w:t xml:space="preserve">- Comparison against prompt-only and cadence-reminder baselines</w:t>
      </w:r>
    </w:p>
    <w:p>
      <w:pPr>
        <w:pStyle w:val="BodyText"/>
      </w:pPr>
      <w:r>
        <w:rPr>
          <w:bCs/>
          <w:b/>
        </w:rPr>
        <w:t xml:space="preserve">Construct Validity Studies</w:t>
      </w:r>
      <w:r>
        <w:t xml:space="preserve"> </w:t>
      </w:r>
      <w:r>
        <w:t xml:space="preserve">(Phase 3):</w:t>
      </w:r>
      <w:r>
        <w:t xml:space="preserve"> </w:t>
      </w:r>
      <w:r>
        <w:t xml:space="preserve">- Human judgment correlation (do fidelity scores match human perception?)</w:t>
      </w:r>
      <w:r>
        <w:t xml:space="preserve"> </w:t>
      </w:r>
      <w:r>
        <w:t xml:space="preserve">- Task success correlation (does high fidelity predict task completion?)</w:t>
      </w:r>
      <w:r>
        <w:t xml:space="preserve"> </w:t>
      </w:r>
      <w:r>
        <w:t xml:space="preserve">- Regulatory compliance officer assessment (does telemetry satisfy auditors?)</w:t>
      </w:r>
      <w:r>
        <w:t xml:space="preserve"> </w:t>
      </w:r>
      <w:r>
        <w:t xml:space="preserve">- User experience impact (does governance improve or degrade usability?)</w:t>
      </w:r>
    </w:p>
    <w:bookmarkEnd w:id="56"/>
    <w:bookmarkStart w:id="57" w:name="success-criteria"/>
    <w:p>
      <w:pPr>
        <w:pStyle w:val="Heading3"/>
      </w:pPr>
      <w:r>
        <w:t xml:space="preserve">4.5 Success Criteria</w:t>
      </w:r>
    </w:p>
    <w:p>
      <w:pPr>
        <w:pStyle w:val="FirstParagraph"/>
      </w:pPr>
      <w:r>
        <w:t xml:space="preserve">For TELOS to be considered validated:</w:t>
      </w:r>
    </w:p>
    <w:p>
      <w:pPr>
        <w:numPr>
          <w:ilvl w:val="0"/>
          <w:numId w:val="1010"/>
        </w:numPr>
        <w:pStyle w:val="Compact"/>
      </w:pPr>
      <w:r>
        <w:rPr>
          <w:bCs/>
          <w:b/>
        </w:rPr>
        <w:t xml:space="preserve">Quantitative superiority</w:t>
      </w:r>
      <w:r>
        <w:t xml:space="preserve">: Measurably better alignment than baselines</w:t>
      </w:r>
    </w:p>
    <w:p>
      <w:pPr>
        <w:numPr>
          <w:ilvl w:val="1"/>
          <w:numId w:val="1011"/>
        </w:numPr>
        <w:pStyle w:val="Compact"/>
      </w:pPr>
      <w:r>
        <w:rPr>
          <w:bCs/>
          <w:b/>
        </w:rPr>
        <w:t xml:space="preserve">Status</w:t>
      </w:r>
      <w:r>
        <w:t xml:space="preserve">: ✅ ACHIEVED for dual PA architecture</w:t>
      </w:r>
    </w:p>
    <w:p>
      <w:pPr>
        <w:numPr>
          <w:ilvl w:val="0"/>
          <w:numId w:val="1010"/>
        </w:numPr>
        <w:pStyle w:val="Compact"/>
      </w:pPr>
      <w:r>
        <w:rPr>
          <w:bCs/>
          <w:b/>
        </w:rPr>
        <w:t xml:space="preserve">Statistical significance</w:t>
      </w:r>
      <w:r>
        <w:t xml:space="preserve">: p &lt; 0.05 with adequate power</w:t>
      </w:r>
    </w:p>
    <w:p>
      <w:pPr>
        <w:numPr>
          <w:ilvl w:val="1"/>
          <w:numId w:val="1012"/>
        </w:numPr>
        <w:pStyle w:val="Compact"/>
      </w:pPr>
      <w:r>
        <w:rPr>
          <w:bCs/>
          <w:b/>
        </w:rPr>
        <w:t xml:space="preserve">Status</w:t>
      </w:r>
      <w:r>
        <w:t xml:space="preserve">: ✅ ACHIEVED (p &lt; 0.001, power = 0.998)</w:t>
      </w:r>
    </w:p>
    <w:p>
      <w:pPr>
        <w:numPr>
          <w:ilvl w:val="0"/>
          <w:numId w:val="1010"/>
        </w:numPr>
        <w:pStyle w:val="Compact"/>
      </w:pPr>
      <w:r>
        <w:rPr>
          <w:bCs/>
          <w:b/>
        </w:rPr>
        <w:t xml:space="preserve">Effect size</w:t>
      </w:r>
      <w:r>
        <w:t xml:space="preserve">: Cohen’s d &gt; 0.5 (medium effect or larger)</w:t>
      </w:r>
    </w:p>
    <w:p>
      <w:pPr>
        <w:numPr>
          <w:ilvl w:val="1"/>
          <w:numId w:val="1013"/>
        </w:numPr>
        <w:pStyle w:val="Compact"/>
      </w:pPr>
      <w:r>
        <w:rPr>
          <w:bCs/>
          <w:b/>
        </w:rPr>
        <w:t xml:space="preserve">Status</w:t>
      </w:r>
      <w:r>
        <w:t xml:space="preserve">: ✅ ACHIEVED (d = 0.87, large effect)</w:t>
      </w:r>
    </w:p>
    <w:p>
      <w:pPr>
        <w:numPr>
          <w:ilvl w:val="0"/>
          <w:numId w:val="1010"/>
        </w:numPr>
        <w:pStyle w:val="Compact"/>
      </w:pPr>
      <w:r>
        <w:rPr>
          <w:bCs/>
          <w:b/>
        </w:rPr>
        <w:t xml:space="preserve">Generalization</w:t>
      </w:r>
      <w:r>
        <w:t xml:space="preserve">: Consistent across domains and models</w:t>
      </w:r>
    </w:p>
    <w:p>
      <w:pPr>
        <w:numPr>
          <w:ilvl w:val="1"/>
          <w:numId w:val="1014"/>
        </w:numPr>
        <w:pStyle w:val="Compact"/>
      </w:pPr>
      <w:r>
        <w:rPr>
          <w:bCs/>
          <w:b/>
        </w:rPr>
        <w:t xml:space="preserve">Status</w:t>
      </w:r>
      <w:r>
        <w:t xml:space="preserve">: ⏳ Partial evidence, requires expansion</w:t>
      </w:r>
    </w:p>
    <w:p>
      <w:pPr>
        <w:numPr>
          <w:ilvl w:val="0"/>
          <w:numId w:val="1010"/>
        </w:numPr>
        <w:pStyle w:val="Compact"/>
      </w:pPr>
      <w:r>
        <w:rPr>
          <w:bCs/>
          <w:b/>
        </w:rPr>
        <w:t xml:space="preserve">Regulatory acceptance</w:t>
      </w:r>
      <w:r>
        <w:t xml:space="preserve">: Auditors confirm evidence sufficiency</w:t>
      </w:r>
    </w:p>
    <w:p>
      <w:pPr>
        <w:numPr>
          <w:ilvl w:val="1"/>
          <w:numId w:val="1015"/>
        </w:numPr>
        <w:pStyle w:val="Compact"/>
      </w:pPr>
      <w:r>
        <w:rPr>
          <w:bCs/>
          <w:b/>
        </w:rPr>
        <w:t xml:space="preserve">Status</w:t>
      </w:r>
      <w:r>
        <w:t xml:space="preserve">: ⏳ Awaiting formal assessment</w:t>
      </w:r>
    </w:p>
    <w:p>
      <w:r>
        <w:pict>
          <v:rect style="width:0;height:1.5pt" o:hralign="center" o:hrstd="t" o:hr="t"/>
        </w:pict>
      </w:r>
    </w:p>
    <w:bookmarkEnd w:id="57"/>
    <w:bookmarkEnd w:id="58"/>
    <w:bookmarkStart w:id="59" w:name="Xc49aeb514c18ec581a66aabb7a2c42b8878eda4"/>
    <w:p>
      <w:pPr>
        <w:pStyle w:val="Heading2"/>
      </w:pPr>
      <w:r>
        <w:t xml:space="preserve">5. DMAIC Mapping: Continuous Improvement for Semantic Systems</w:t>
      </w:r>
    </w:p>
    <w:p>
      <w:pPr>
        <w:pStyle w:val="FirstParagraph"/>
      </w:pPr>
      <w:r>
        <w:t xml:space="preserve">TELOS implements the DMAIC methodology—Define, Measure, Analyze, Improve, Control—as runtime governance:</w:t>
      </w:r>
    </w:p>
    <w:p>
      <w:pPr>
        <w:pStyle w:val="BodyText"/>
      </w:pPr>
      <w:r>
        <w:rPr>
          <w:bCs/>
          <w:b/>
        </w:rPr>
        <w:t xml:space="preserve">Define</w:t>
      </w:r>
      <w:r>
        <w:t xml:space="preserve">: User declares purpose, scope, boundaries → Primacy Attractor established</w:t>
      </w:r>
      <w:r>
        <w:br/>
      </w:r>
      <w:r>
        <w:rPr>
          <w:bCs/>
          <w:b/>
        </w:rPr>
        <w:t xml:space="preserve">Measure</w:t>
      </w:r>
      <w:r>
        <w:t xml:space="preserve">: Every response embedded and compared → Fidelity scores generated</w:t>
      </w:r>
      <w:r>
        <w:br/>
      </w:r>
      <w:r>
        <w:rPr>
          <w:bCs/>
          <w:b/>
        </w:rPr>
        <w:t xml:space="preserve">Analyze</w:t>
      </w:r>
      <w:r>
        <w:t xml:space="preserve">: Drift patterns identified → Root causes determined</w:t>
      </w:r>
      <w:r>
        <w:br/>
      </w:r>
      <w:r>
        <w:rPr>
          <w:bCs/>
          <w:b/>
        </w:rPr>
        <w:t xml:space="preserve">Improve</w:t>
      </w:r>
      <w:r>
        <w:t xml:space="preserve">: Proportional intervention applied → Alignment restored</w:t>
      </w:r>
      <w:r>
        <w:br/>
      </w:r>
      <w:r>
        <w:rPr>
          <w:bCs/>
          <w:b/>
        </w:rPr>
        <w:t xml:space="preserve">Control</w:t>
      </w:r>
      <w:r>
        <w:t xml:space="preserve">: Continuous monitoring maintains stability → Variance stays within limits</w:t>
      </w:r>
    </w:p>
    <w:p>
      <w:pPr>
        <w:pStyle w:val="BodyText"/>
      </w:pPr>
      <w:r>
        <w:t xml:space="preserve">This is not metaphorical—it’s computational. Each conversation turn executes the DMAIC cycle:</w:t>
      </w:r>
    </w:p>
    <w:p>
      <w:pPr>
        <w:pStyle w:val="SourceCode"/>
      </w:pPr>
      <w:r>
        <w:rPr>
          <w:rStyle w:val="KeywordTok"/>
        </w:rPr>
        <w:t xml:space="preserve">def</w:t>
      </w:r>
      <w:r>
        <w:rPr>
          <w:rStyle w:val="NormalTok"/>
        </w:rPr>
        <w:t xml:space="preserve"> dmaic_cycle(turn):</w:t>
      </w:r>
      <w:r>
        <w:br/>
      </w:r>
      <w:r>
        <w:rPr>
          <w:rStyle w:val="NormalTok"/>
        </w:rPr>
        <w:t xml:space="preserve">    </w:t>
      </w:r>
      <w:r>
        <w:rPr>
          <w:rStyle w:val="CommentTok"/>
        </w:rPr>
        <w:t xml:space="preserve"># DEFINE - Established at session start</w:t>
      </w:r>
      <w:r>
        <w:br/>
      </w:r>
      <w:r>
        <w:rPr>
          <w:rStyle w:val="NormalTok"/>
        </w:rPr>
        <w:t xml:space="preserve">    primacy_attractor </w:t>
      </w:r>
      <w:r>
        <w:rPr>
          <w:rStyle w:val="OperatorTok"/>
        </w:rPr>
        <w:t xml:space="preserve">=</w:t>
      </w:r>
      <w:r>
        <w:rPr>
          <w:rStyle w:val="NormalTok"/>
        </w:rPr>
        <w:t xml:space="preserve"> embed(purpose, scope, boundaries)</w:t>
      </w:r>
      <w:r>
        <w:br/>
      </w:r>
      <w:r>
        <w:rPr>
          <w:rStyle w:val="NormalTok"/>
        </w:rPr>
        <w:t xml:space="preserve">    </w:t>
      </w:r>
      <w:r>
        <w:br/>
      </w:r>
      <w:r>
        <w:rPr>
          <w:rStyle w:val="NormalTok"/>
        </w:rPr>
        <w:t xml:space="preserve">    </w:t>
      </w:r>
      <w:r>
        <w:rPr>
          <w:rStyle w:val="CommentTok"/>
        </w:rPr>
        <w:t xml:space="preserve"># MEASURE - Every turn</w:t>
      </w:r>
      <w:r>
        <w:br/>
      </w:r>
      <w:r>
        <w:rPr>
          <w:rStyle w:val="NormalTok"/>
        </w:rPr>
        <w:t xml:space="preserve">    response_embedding </w:t>
      </w:r>
      <w:r>
        <w:rPr>
          <w:rStyle w:val="OperatorTok"/>
        </w:rPr>
        <w:t xml:space="preserve">=</w:t>
      </w:r>
      <w:r>
        <w:rPr>
          <w:rStyle w:val="NormalTok"/>
        </w:rPr>
        <w:t xml:space="preserve"> embed(model_output)</w:t>
      </w:r>
      <w:r>
        <w:br/>
      </w:r>
      <w:r>
        <w:rPr>
          <w:rStyle w:val="NormalTok"/>
        </w:rPr>
        <w:t xml:space="preserve">    fidelity </w:t>
      </w:r>
      <w:r>
        <w:rPr>
          <w:rStyle w:val="OperatorTok"/>
        </w:rPr>
        <w:t xml:space="preserve">=</w:t>
      </w:r>
      <w:r>
        <w:rPr>
          <w:rStyle w:val="NormalTok"/>
        </w:rPr>
        <w:t xml:space="preserve"> cosine_similarity(response_embedding, primacy_attractor)</w:t>
      </w:r>
      <w:r>
        <w:br/>
      </w:r>
      <w:r>
        <w:rPr>
          <w:rStyle w:val="NormalTok"/>
        </w:rPr>
        <w:t xml:space="preserve">    </w:t>
      </w:r>
      <w:r>
        <w:br/>
      </w:r>
      <w:r>
        <w:rPr>
          <w:rStyle w:val="NormalTok"/>
        </w:rPr>
        <w:t xml:space="preserve">    </w:t>
      </w:r>
      <w:r>
        <w:rPr>
          <w:rStyle w:val="CommentTok"/>
        </w:rPr>
        <w:t xml:space="preserve"># ANALYZE - Detect drift</w:t>
      </w:r>
      <w:r>
        <w:br/>
      </w:r>
      <w:r>
        <w:rPr>
          <w:rStyle w:val="NormalTok"/>
        </w:rPr>
        <w:t xml:space="preserve">    drift_severity </w:t>
      </w:r>
      <w:r>
        <w:rPr>
          <w:rStyle w:val="OperatorTok"/>
        </w:rPr>
        <w:t xml:space="preserve">=</w:t>
      </w:r>
      <w:r>
        <w:rPr>
          <w:rStyle w:val="NormalTok"/>
        </w:rPr>
        <w:t xml:space="preserve"> compute_drift(fidelity, threshold)</w:t>
      </w:r>
      <w:r>
        <w:br/>
      </w:r>
      <w:r>
        <w:rPr>
          <w:rStyle w:val="NormalTok"/>
        </w:rPr>
        <w:t xml:space="preserve">    root_cause </w:t>
      </w:r>
      <w:r>
        <w:rPr>
          <w:rStyle w:val="OperatorTok"/>
        </w:rPr>
        <w:t xml:space="preserve">=</w:t>
      </w:r>
      <w:r>
        <w:rPr>
          <w:rStyle w:val="NormalTok"/>
        </w:rPr>
        <w:t xml:space="preserve"> analyze_drift_pattern(history)</w:t>
      </w:r>
      <w:r>
        <w:br/>
      </w:r>
      <w:r>
        <w:rPr>
          <w:rStyle w:val="NormalTok"/>
        </w:rPr>
        <w:t xml:space="preserve">    </w:t>
      </w:r>
      <w:r>
        <w:br/>
      </w:r>
      <w:r>
        <w:rPr>
          <w:rStyle w:val="NormalTok"/>
        </w:rPr>
        <w:t xml:space="preserve">    </w:t>
      </w:r>
      <w:r>
        <w:rPr>
          <w:rStyle w:val="CommentTok"/>
        </w:rPr>
        <w:t xml:space="preserve"># IMPROVE - Proportional intervention</w:t>
      </w:r>
      <w:r>
        <w:br/>
      </w:r>
      <w:r>
        <w:rPr>
          <w:rStyle w:val="NormalTok"/>
        </w:rPr>
        <w:t xml:space="preserve">    </w:t>
      </w:r>
      <w:r>
        <w:rPr>
          <w:rStyle w:val="ControlFlowTok"/>
        </w:rPr>
        <w:t xml:space="preserve">if</w:t>
      </w:r>
      <w:r>
        <w:rPr>
          <w:rStyle w:val="NormalTok"/>
        </w:rPr>
        <w:t xml:space="preserve"> drift_severity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intervention </w:t>
      </w:r>
      <w:r>
        <w:rPr>
          <w:rStyle w:val="OperatorTok"/>
        </w:rPr>
        <w:t xml:space="preserve">=</w:t>
      </w:r>
      <w:r>
        <w:rPr>
          <w:rStyle w:val="NormalTok"/>
        </w:rPr>
        <w:t xml:space="preserve"> proportional_control(drift_severity)</w:t>
      </w:r>
      <w:r>
        <w:br/>
      </w:r>
      <w:r>
        <w:rPr>
          <w:rStyle w:val="NormalTok"/>
        </w:rPr>
        <w:t xml:space="preserve">        apply_intervention(intervention)</w:t>
      </w:r>
      <w:r>
        <w:br/>
      </w:r>
      <w:r>
        <w:rPr>
          <w:rStyle w:val="NormalTok"/>
        </w:rPr>
        <w:t xml:space="preserve">    </w:t>
      </w:r>
      <w:r>
        <w:br/>
      </w:r>
      <w:r>
        <w:rPr>
          <w:rStyle w:val="NormalTok"/>
        </w:rPr>
        <w:t xml:space="preserve">    </w:t>
      </w:r>
      <w:r>
        <w:rPr>
          <w:rStyle w:val="CommentTok"/>
        </w:rPr>
        <w:t xml:space="preserve"># CONTROL - Maintain stability</w:t>
      </w:r>
      <w:r>
        <w:br/>
      </w:r>
      <w:r>
        <w:rPr>
          <w:rStyle w:val="NormalTok"/>
        </w:rPr>
        <w:t xml:space="preserve">    update_control_charts(fidelity)</w:t>
      </w:r>
      <w:r>
        <w:br/>
      </w:r>
      <w:r>
        <w:rPr>
          <w:rStyle w:val="NormalTok"/>
        </w:rPr>
        <w:t xml:space="preserve">    check_capability_index()</w:t>
      </w:r>
      <w:r>
        <w:br/>
      </w:r>
      <w:r>
        <w:rPr>
          <w:rStyle w:val="NormalTok"/>
        </w:rPr>
        <w:t xml:space="preserve">    log_telemetry()</w:t>
      </w:r>
    </w:p>
    <w:p>
      <w:pPr>
        <w:pStyle w:val="FirstParagraph"/>
      </w:pPr>
      <w:r>
        <w:t xml:space="preserve">This transforms Six Sigma from methodology to mechanism—continuous improvement becomes computational process.</w:t>
      </w:r>
    </w:p>
    <w:p>
      <w:r>
        <w:pict>
          <v:rect style="width:0;height:1.5pt" o:hralign="center" o:hrstd="t" o:hr="t"/>
        </w:pict>
      </w:r>
    </w:p>
    <w:bookmarkEnd w:id="59"/>
    <w:bookmarkStart w:id="65" w:name="X61741a050b9569e9b184dc779163cdd492ba355"/>
    <w:p>
      <w:pPr>
        <w:pStyle w:val="Heading2"/>
      </w:pPr>
      <w:r>
        <w:t xml:space="preserve">6. Runtime Implementation: The SPC Engine and Proportional Controller</w:t>
      </w:r>
    </w:p>
    <w:bookmarkStart w:id="60" w:name="architectural-overview"/>
    <w:p>
      <w:pPr>
        <w:pStyle w:val="Heading3"/>
      </w:pPr>
      <w:r>
        <w:t xml:space="preserve">6.1 Architectural Overview</w:t>
      </w:r>
    </w:p>
    <w:p>
      <w:pPr>
        <w:pStyle w:val="FirstParagraph"/>
      </w:pPr>
      <w:r>
        <w:t xml:space="preserve">TELOS operates as a runtime layer between user inputs and model outputs:</w:t>
      </w:r>
    </w:p>
    <w:p>
      <w:pPr>
        <w:pStyle w:val="SourceCode"/>
      </w:pPr>
      <w:r>
        <w:rPr>
          <w:rStyle w:val="VerbatimChar"/>
        </w:rPr>
        <w:t xml:space="preserve">User Input → TELOS → Model → TELOS → User Output</w:t>
      </w:r>
      <w:r>
        <w:br/>
      </w:r>
      <w:r>
        <w:rPr>
          <w:rStyle w:val="VerbatimChar"/>
        </w:rPr>
        <w:t xml:space="preserve">           ↓                    ↓</w:t>
      </w:r>
      <w:r>
        <w:br/>
      </w:r>
      <w:r>
        <w:rPr>
          <w:rStyle w:val="VerbatimChar"/>
        </w:rPr>
        <w:t xml:space="preserve">        Governance          Measurement</w:t>
      </w:r>
      <w:r>
        <w:br/>
      </w:r>
      <w:r>
        <w:rPr>
          <w:rStyle w:val="VerbatimChar"/>
        </w:rPr>
        <w:t xml:space="preserve">        Injection           &amp; Intervention</w:t>
      </w:r>
    </w:p>
    <w:p>
      <w:pPr>
        <w:pStyle w:val="FirstParagraph"/>
      </w:pPr>
      <w:r>
        <w:t xml:space="preserve">The system consists of:</w:t>
      </w:r>
      <w:r>
        <w:t xml:space="preserve"> </w:t>
      </w:r>
      <w:r>
        <w:t xml:space="preserve">-</w:t>
      </w:r>
      <w:r>
        <w:t xml:space="preserve"> </w:t>
      </w:r>
      <w:r>
        <w:rPr>
          <w:bCs/>
          <w:b/>
        </w:rPr>
        <w:t xml:space="preserve">SPC Engine</w:t>
      </w:r>
      <w:r>
        <w:t xml:space="preserve">: Continuous measurement and statistical analysis</w:t>
      </w:r>
      <w:r>
        <w:t xml:space="preserve"> </w:t>
      </w:r>
      <w:r>
        <w:t xml:space="preserve">-</w:t>
      </w:r>
      <w:r>
        <w:t xml:space="preserve"> </w:t>
      </w:r>
      <w:r>
        <w:rPr>
          <w:bCs/>
          <w:b/>
        </w:rPr>
        <w:t xml:space="preserve">Proportional Controller</w:t>
      </w:r>
      <w:r>
        <w:t xml:space="preserve">: Graduated intervention based on drift severity</w:t>
      </w:r>
      <w:r>
        <w:br/>
      </w:r>
      <w:r>
        <w:t xml:space="preserve">-</w:t>
      </w:r>
      <w:r>
        <w:t xml:space="preserve"> </w:t>
      </w:r>
      <w:r>
        <w:rPr>
          <w:bCs/>
          <w:b/>
        </w:rPr>
        <w:t xml:space="preserve">Telemetry System</w:t>
      </w:r>
      <w:r>
        <w:t xml:space="preserve">: Complete audit trail generation</w:t>
      </w:r>
      <w:r>
        <w:t xml:space="preserve"> </w:t>
      </w:r>
      <w:r>
        <w:t xml:space="preserve">-</w:t>
      </w:r>
      <w:r>
        <w:t xml:space="preserve"> </w:t>
      </w:r>
      <w:r>
        <w:rPr>
          <w:bCs/>
          <w:b/>
        </w:rPr>
        <w:t xml:space="preserve">Dual PA Manager</w:t>
      </w:r>
      <w:r>
        <w:t xml:space="preserve">: Maintains two-attractor coupling</w:t>
      </w:r>
    </w:p>
    <w:bookmarkEnd w:id="60"/>
    <w:bookmarkStart w:id="61" w:name="Xd3e538fa30fa5e7d9cdfb92c9fc68bf9a14ecc5"/>
    <w:p>
      <w:pPr>
        <w:pStyle w:val="Heading3"/>
      </w:pPr>
      <w:r>
        <w:t xml:space="preserve">6.2 The SPC Engine: Continuous Measurement and Analysis</w:t>
      </w:r>
    </w:p>
    <w:p>
      <w:pPr>
        <w:pStyle w:val="FirstParagraph"/>
      </w:pPr>
      <w:r>
        <w:t xml:space="preserve">The Statistical Process Control engine maintains governance state:</w:t>
      </w:r>
    </w:p>
    <w:p>
      <w:pPr>
        <w:pStyle w:val="SourceCode"/>
      </w:pPr>
      <w:r>
        <w:rPr>
          <w:rStyle w:val="KeywordTok"/>
        </w:rPr>
        <w:t xml:space="preserve">class</w:t>
      </w:r>
      <w:r>
        <w:rPr>
          <w:rStyle w:val="NormalTok"/>
        </w:rPr>
        <w:t xml:space="preserve"> SPCEngine: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dual_pa_config):</w:t>
      </w:r>
      <w:r>
        <w:br/>
      </w:r>
      <w:r>
        <w:rPr>
          <w:rStyle w:val="NormalTok"/>
        </w:rPr>
        <w:t xml:space="preserve">        </w:t>
      </w:r>
      <w:r>
        <w:rPr>
          <w:rStyle w:val="VariableTok"/>
        </w:rPr>
        <w:t xml:space="preserve">self</w:t>
      </w:r>
      <w:r>
        <w:rPr>
          <w:rStyle w:val="NormalTok"/>
        </w:rPr>
        <w:t xml:space="preserve">.user_attractor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User PA</w:t>
      </w:r>
      <w:r>
        <w:br/>
      </w:r>
      <w:r>
        <w:rPr>
          <w:rStyle w:val="NormalTok"/>
        </w:rPr>
        <w:t xml:space="preserve">        </w:t>
      </w:r>
      <w:r>
        <w:rPr>
          <w:rStyle w:val="VariableTok"/>
        </w:rPr>
        <w:t xml:space="preserve">self</w:t>
      </w:r>
      <w:r>
        <w:rPr>
          <w:rStyle w:val="NormalTok"/>
        </w:rPr>
        <w:t xml:space="preserve">.ai_attractor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AI PA</w:t>
      </w:r>
      <w:r>
        <w:br/>
      </w:r>
      <w:r>
        <w:rPr>
          <w:rStyle w:val="NormalTok"/>
        </w:rPr>
        <w:t xml:space="preserve">        </w:t>
      </w:r>
      <w:r>
        <w:rPr>
          <w:rStyle w:val="VariableTok"/>
        </w:rPr>
        <w:t xml:space="preserve">self</w:t>
      </w:r>
      <w:r>
        <w:rPr>
          <w:rStyle w:val="NormalTok"/>
        </w:rPr>
        <w:t xml:space="preserve">.control_limits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.capability_index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.telemetry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measure_fidelity(</w:t>
      </w:r>
      <w:r>
        <w:rPr>
          <w:rStyle w:val="VariableTok"/>
        </w:rPr>
        <w:t xml:space="preserve">self</w:t>
      </w:r>
      <w:r>
        <w:rPr>
          <w:rStyle w:val="NormalTok"/>
        </w:rPr>
        <w:t xml:space="preserve">, response):</w:t>
      </w:r>
      <w:r>
        <w:br/>
      </w:r>
      <w:r>
        <w:rPr>
          <w:rStyle w:val="NormalTok"/>
        </w:rPr>
        <w:t xml:space="preserve">        </w:t>
      </w:r>
      <w:r>
        <w:rPr>
          <w:rStyle w:val="CommentTok"/>
        </w:rPr>
        <w:t xml:space="preserve"># Dual fidelity measurement</w:t>
      </w:r>
      <w:r>
        <w:br/>
      </w:r>
      <w:r>
        <w:rPr>
          <w:rStyle w:val="NormalTok"/>
        </w:rPr>
        <w:t xml:space="preserve">        user_fidelity </w:t>
      </w:r>
      <w:r>
        <w:rPr>
          <w:rStyle w:val="OperatorTok"/>
        </w:rPr>
        <w:t xml:space="preserve">=</w:t>
      </w:r>
      <w:r>
        <w:rPr>
          <w:rStyle w:val="NormalTok"/>
        </w:rPr>
        <w:t xml:space="preserve"> cosine_similarity(response, </w:t>
      </w:r>
      <w:r>
        <w:rPr>
          <w:rStyle w:val="VariableTok"/>
        </w:rPr>
        <w:t xml:space="preserve">self</w:t>
      </w:r>
      <w:r>
        <w:rPr>
          <w:rStyle w:val="NormalTok"/>
        </w:rPr>
        <w:t xml:space="preserve">.user_attractor)</w:t>
      </w:r>
      <w:r>
        <w:br/>
      </w:r>
      <w:r>
        <w:rPr>
          <w:rStyle w:val="NormalTok"/>
        </w:rPr>
        <w:t xml:space="preserve">        ai_fidelity </w:t>
      </w:r>
      <w:r>
        <w:rPr>
          <w:rStyle w:val="OperatorTok"/>
        </w:rPr>
        <w:t xml:space="preserve">=</w:t>
      </w:r>
      <w:r>
        <w:rPr>
          <w:rStyle w:val="NormalTok"/>
        </w:rPr>
        <w:t xml:space="preserve"> cosine_similarity(response, </w:t>
      </w:r>
      <w:r>
        <w:rPr>
          <w:rStyle w:val="VariableTok"/>
        </w:rPr>
        <w:t xml:space="preserve">self</w:t>
      </w:r>
      <w:r>
        <w:rPr>
          <w:rStyle w:val="NormalTok"/>
        </w:rPr>
        <w:t xml:space="preserve">.ai_attractor)</w:t>
      </w:r>
      <w:r>
        <w:br/>
      </w:r>
      <w:r>
        <w:rPr>
          <w:rStyle w:val="NormalTok"/>
        </w:rPr>
        <w:t xml:space="preserve">        pa_correlation </w:t>
      </w:r>
      <w:r>
        <w:rPr>
          <w:rStyle w:val="OperatorTok"/>
        </w:rPr>
        <w:t xml:space="preserve">=</w:t>
      </w:r>
      <w:r>
        <w:rPr>
          <w:rStyle w:val="NormalTok"/>
        </w:rPr>
        <w:t xml:space="preserve"> cosine_similarity(</w:t>
      </w:r>
      <w:r>
        <w:rPr>
          <w:rStyle w:val="VariableTok"/>
        </w:rPr>
        <w:t xml:space="preserve">self</w:t>
      </w:r>
      <w:r>
        <w:rPr>
          <w:rStyle w:val="NormalTok"/>
        </w:rPr>
        <w:t xml:space="preserve">.user_attractor, </w:t>
      </w:r>
      <w:r>
        <w:rPr>
          <w:rStyle w:val="VariableTok"/>
        </w:rPr>
        <w:t xml:space="preserve">self</w:t>
      </w:r>
      <w:r>
        <w:rPr>
          <w:rStyle w:val="NormalTok"/>
        </w:rPr>
        <w:t xml:space="preserve">.ai_attractor)</w:t>
      </w:r>
      <w:r>
        <w:br/>
      </w:r>
      <w:r>
        <w:rPr>
          <w:rStyle w:val="NormalTok"/>
        </w:rPr>
        <w:t xml:space="preserve">        </w:t>
      </w:r>
      <w:r>
        <w:br/>
      </w:r>
      <w:r>
        <w:rPr>
          <w:rStyle w:val="NormalTok"/>
        </w:rPr>
        <w:t xml:space="preserve">        </w:t>
      </w:r>
      <w:r>
        <w:rPr>
          <w:rStyle w:val="CommentTok"/>
        </w:rPr>
        <w:t xml:space="preserve"># Weighted system fidelity</w:t>
      </w:r>
      <w:r>
        <w:br/>
      </w:r>
      <w:r>
        <w:rPr>
          <w:rStyle w:val="NormalTok"/>
        </w:rPr>
        <w:t xml:space="preserve">        system_fidelity </w:t>
      </w:r>
      <w:r>
        <w:rPr>
          <w:rStyle w:val="OperatorTok"/>
        </w:rPr>
        <w:t xml:space="preserve">=</w:t>
      </w:r>
      <w:r>
        <w:rPr>
          <w:rStyle w:val="NormalTok"/>
        </w:rPr>
        <w:t xml:space="preserve"> </w:t>
      </w:r>
      <w:r>
        <w:rPr>
          <w:rStyle w:val="FloatTok"/>
        </w:rPr>
        <w:t xml:space="preserve">0.65</w:t>
      </w:r>
      <w:r>
        <w:rPr>
          <w:rStyle w:val="NormalTok"/>
        </w:rPr>
        <w:t xml:space="preserve"> </w:t>
      </w:r>
      <w:r>
        <w:rPr>
          <w:rStyle w:val="OperatorTok"/>
        </w:rPr>
        <w:t xml:space="preserve">*</w:t>
      </w:r>
      <w:r>
        <w:rPr>
          <w:rStyle w:val="NormalTok"/>
        </w:rPr>
        <w:t xml:space="preserve"> user_fidelity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ai_fidelity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'user_fidelity'</w:t>
      </w:r>
      <w:r>
        <w:rPr>
          <w:rStyle w:val="NormalTok"/>
        </w:rPr>
        <w:t xml:space="preserve">: user_fidelity,</w:t>
      </w:r>
      <w:r>
        <w:br/>
      </w:r>
      <w:r>
        <w:rPr>
          <w:rStyle w:val="NormalTok"/>
        </w:rPr>
        <w:t xml:space="preserve">            </w:t>
      </w:r>
      <w:r>
        <w:rPr>
          <w:rStyle w:val="StringTok"/>
        </w:rPr>
        <w:t xml:space="preserve">'ai_fidelity'</w:t>
      </w:r>
      <w:r>
        <w:rPr>
          <w:rStyle w:val="NormalTok"/>
        </w:rPr>
        <w:t xml:space="preserve">: ai_fidelity,</w:t>
      </w:r>
      <w:r>
        <w:br/>
      </w:r>
      <w:r>
        <w:rPr>
          <w:rStyle w:val="NormalTok"/>
        </w:rPr>
        <w:t xml:space="preserve">            </w:t>
      </w:r>
      <w:r>
        <w:rPr>
          <w:rStyle w:val="StringTok"/>
        </w:rPr>
        <w:t xml:space="preserve">'pa_correlation'</w:t>
      </w:r>
      <w:r>
        <w:rPr>
          <w:rStyle w:val="NormalTok"/>
        </w:rPr>
        <w:t xml:space="preserve">: pa_correlation,</w:t>
      </w:r>
      <w:r>
        <w:br/>
      </w:r>
      <w:r>
        <w:rPr>
          <w:rStyle w:val="NormalTok"/>
        </w:rPr>
        <w:t xml:space="preserve">            </w:t>
      </w:r>
      <w:r>
        <w:rPr>
          <w:rStyle w:val="StringTok"/>
        </w:rPr>
        <w:t xml:space="preserve">'system_fidelity'</w:t>
      </w:r>
      <w:r>
        <w:rPr>
          <w:rStyle w:val="NormalTok"/>
        </w:rPr>
        <w:t xml:space="preserve">: system_fidelity</w:t>
      </w:r>
      <w:r>
        <w:br/>
      </w:r>
      <w:r>
        <w:rPr>
          <w:rStyle w:val="NormalTok"/>
        </w:rPr>
        <w:t xml:space="preserve">        }</w:t>
      </w:r>
    </w:p>
    <w:bookmarkEnd w:id="61"/>
    <w:bookmarkStart w:id="62" w:name="Xda7148d03811b026e26a18724af5c921b4a407c"/>
    <w:p>
      <w:pPr>
        <w:pStyle w:val="Heading3"/>
      </w:pPr>
      <w:r>
        <w:t xml:space="preserve">6.3 The Proportional Controller: Graduated Intervention</w:t>
      </w:r>
    </w:p>
    <w:p>
      <w:pPr>
        <w:pStyle w:val="FirstParagraph"/>
      </w:pPr>
      <w:r>
        <w:t xml:space="preserve">Interventions scale with drift severity:</w:t>
      </w:r>
    </w:p>
    <w:p>
      <w:pPr>
        <w:pStyle w:val="BodyText"/>
      </w:pPr>
      <w:r>
        <w:rPr>
          <w:bCs/>
          <w:b/>
        </w:rPr>
        <w:t xml:space="preserve">Level 0: Within Tolerance</w:t>
      </w:r>
      <w:r>
        <w:t xml:space="preserve"> </w:t>
      </w:r>
      <w:r>
        <w:t xml:space="preserve">(fidelity &gt; 0.85)</w:t>
      </w:r>
      <w:r>
        <w:t xml:space="preserve"> </w:t>
      </w:r>
      <w:r>
        <w:t xml:space="preserve">- No intervention needed</w:t>
      </w:r>
      <w:r>
        <w:t xml:space="preserve"> </w:t>
      </w:r>
      <w:r>
        <w:t xml:space="preserve">- System operating within control limits</w:t>
      </w:r>
    </w:p>
    <w:p>
      <w:pPr>
        <w:pStyle w:val="BodyText"/>
      </w:pPr>
      <w:r>
        <w:rPr>
          <w:bCs/>
          <w:b/>
        </w:rPr>
        <w:t xml:space="preserve">Level 1: Gentle Reminder</w:t>
      </w:r>
      <w:r>
        <w:t xml:space="preserve"> </w:t>
      </w:r>
      <w:r>
        <w:t xml:space="preserve">(0.70 &lt; fidelity &lt; 0.85)</w:t>
      </w:r>
      <w:r>
        <w:t xml:space="preserve"> </w:t>
      </w:r>
      <w:r>
        <w:t xml:space="preserve">- Inject soft governance reminder</w:t>
      </w:r>
      <w:r>
        <w:t xml:space="preserve"> </w:t>
      </w:r>
      <w:r>
        <w:t xml:space="preserve">-</w:t>
      </w:r>
      <w:r>
        <w:t xml:space="preserve"> </w:t>
      </w:r>
      <w:r>
        <w:t xml:space="preserve">“</w:t>
      </w:r>
      <w:r>
        <w:t xml:space="preserve">Keeping in mind the original scope…</w:t>
      </w:r>
      <w:r>
        <w:t xml:space="preserve">”</w:t>
      </w:r>
    </w:p>
    <w:p>
      <w:pPr>
        <w:pStyle w:val="BodyText"/>
      </w:pPr>
      <w:r>
        <w:rPr>
          <w:bCs/>
          <w:b/>
        </w:rPr>
        <w:t xml:space="preserve">Level 2: Explicit Correction</w:t>
      </w:r>
      <w:r>
        <w:t xml:space="preserve"> </w:t>
      </w:r>
      <w:r>
        <w:t xml:space="preserve">(0.50 &lt; fidelity &lt; 0.70)</w:t>
      </w:r>
      <w:r>
        <w:t xml:space="preserve"> </w:t>
      </w:r>
      <w:r>
        <w:t xml:space="preserve">- Strong governance reinforcement</w:t>
      </w:r>
      <w:r>
        <w:t xml:space="preserve"> </w:t>
      </w:r>
      <w:r>
        <w:t xml:space="preserve">-</w:t>
      </w:r>
      <w:r>
        <w:t xml:space="preserve"> </w:t>
      </w:r>
      <w:r>
        <w:t xml:space="preserve">“</w:t>
      </w:r>
      <w:r>
        <w:t xml:space="preserve">CORRECTION: Returning to declared boundaries…</w:t>
      </w:r>
      <w:r>
        <w:t xml:space="preserve">”</w:t>
      </w:r>
    </w:p>
    <w:p>
      <w:pPr>
        <w:pStyle w:val="BodyText"/>
      </w:pPr>
      <w:r>
        <w:rPr>
          <w:bCs/>
          <w:b/>
        </w:rPr>
        <w:t xml:space="preserve">Level 3: Response Regeneration</w:t>
      </w:r>
      <w:r>
        <w:t xml:space="preserve"> </w:t>
      </w:r>
      <w:r>
        <w:t xml:space="preserve">(fidelity &lt; 0.50)</w:t>
      </w:r>
      <w:r>
        <w:t xml:space="preserve"> </w:t>
      </w:r>
      <w:r>
        <w:t xml:space="preserve">- Block original response</w:t>
      </w:r>
      <w:r>
        <w:t xml:space="preserve"> </w:t>
      </w:r>
      <w:r>
        <w:t xml:space="preserve">- Regenerate with strengthened governance</w:t>
      </w:r>
    </w:p>
    <w:bookmarkEnd w:id="62"/>
    <w:bookmarkStart w:id="63" w:name="telemetry-evidence-generation-for-audit"/>
    <w:p>
      <w:pPr>
        <w:pStyle w:val="Heading3"/>
      </w:pPr>
      <w:r>
        <w:t xml:space="preserve">6.4 Telemetry: Evidence Generation for Audit</w:t>
      </w:r>
    </w:p>
    <w:p>
      <w:pPr>
        <w:pStyle w:val="FirstParagraph"/>
      </w:pPr>
      <w:r>
        <w:t xml:space="preserve">Every interaction generates comprehensive telemetry:</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"2024-11-03T10:15:30Z"</w:t>
      </w:r>
      <w:r>
        <w:rPr>
          <w:rStyle w:val="FunctionTok"/>
        </w:rPr>
        <w:t xml:space="preserve">,</w:t>
      </w:r>
      <w:r>
        <w:br/>
      </w:r>
      <w:r>
        <w:rPr>
          <w:rStyle w:val="NormalTok"/>
        </w:rPr>
        <w:t xml:space="preserve">  </w:t>
      </w:r>
      <w:r>
        <w:rPr>
          <w:rStyle w:val="DataTypeTok"/>
        </w:rPr>
        <w:t xml:space="preserve">"turn"</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"fidelity_scores"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"user_pa"</w:t>
      </w:r>
      <w:r>
        <w:rPr>
          <w:rStyle w:val="FunctionTok"/>
        </w:rPr>
        <w:t xml:space="preserve">:</w:t>
      </w:r>
      <w:r>
        <w:rPr>
          <w:rStyle w:val="NormalTok"/>
        </w:rPr>
        <w:t xml:space="preserve"> </w:t>
      </w:r>
      <w:r>
        <w:rPr>
          <w:rStyle w:val="FloatTok"/>
        </w:rPr>
        <w:t xml:space="preserve">0.82</w:t>
      </w:r>
      <w:r>
        <w:rPr>
          <w:rStyle w:val="FunctionTok"/>
        </w:rPr>
        <w:t xml:space="preserve">,</w:t>
      </w:r>
      <w:r>
        <w:br/>
      </w:r>
      <w:r>
        <w:rPr>
          <w:rStyle w:val="NormalTok"/>
        </w:rPr>
        <w:t xml:space="preserve">    </w:t>
      </w:r>
      <w:r>
        <w:rPr>
          <w:rStyle w:val="DataTypeTok"/>
        </w:rPr>
        <w:t xml:space="preserve">"ai_pa"</w:t>
      </w:r>
      <w:r>
        <w:rPr>
          <w:rStyle w:val="FunctionTok"/>
        </w:rPr>
        <w:t xml:space="preserve">:</w:t>
      </w:r>
      <w:r>
        <w:rPr>
          <w:rStyle w:val="NormalTok"/>
        </w:rPr>
        <w:t xml:space="preserve"> </w:t>
      </w:r>
      <w:r>
        <w:rPr>
          <w:rStyle w:val="FloatTok"/>
        </w:rPr>
        <w:t xml:space="preserve">0.91</w:t>
      </w:r>
      <w:r>
        <w:rPr>
          <w:rStyle w:val="FunctionTok"/>
        </w:rPr>
        <w:t xml:space="preserve">,</w:t>
      </w:r>
      <w:r>
        <w:br/>
      </w:r>
      <w:r>
        <w:rPr>
          <w:rStyle w:val="NormalTok"/>
        </w:rPr>
        <w:t xml:space="preserve">    </w:t>
      </w:r>
      <w:r>
        <w:rPr>
          <w:rStyle w:val="DataTypeTok"/>
        </w:rPr>
        <w:t xml:space="preserve">"pa_correlation"</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FloatTok"/>
        </w:rPr>
        <w:t xml:space="preserve">0.85</w:t>
      </w:r>
      <w:r>
        <w:br/>
      </w:r>
      <w:r>
        <w:rPr>
          <w:rStyle w:val="NormalTok"/>
        </w:rPr>
        <w:t xml:space="preserve">  </w:t>
      </w:r>
      <w:r>
        <w:rPr>
          <w:rStyle w:val="FunctionTok"/>
        </w:rPr>
        <w:t xml:space="preserve">},</w:t>
      </w:r>
      <w:r>
        <w:br/>
      </w:r>
      <w:r>
        <w:rPr>
          <w:rStyle w:val="NormalTok"/>
        </w:rPr>
        <w:t xml:space="preserve">  </w:t>
      </w:r>
      <w:r>
        <w:rPr>
          <w:rStyle w:val="DataTypeTok"/>
        </w:rPr>
        <w:t xml:space="preserve">"drift_vector"</w:t>
      </w:r>
      <w:r>
        <w:rPr>
          <w:rStyle w:val="FunctionTok"/>
        </w:rPr>
        <w:t xml:space="preserve">:</w:t>
      </w:r>
      <w:r>
        <w:rPr>
          <w:rStyle w:val="NormalTok"/>
        </w:rPr>
        <w:t xml:space="preserve"> </w:t>
      </w:r>
      <w:r>
        <w:rPr>
          <w:rStyle w:val="OtherTok"/>
        </w:rPr>
        <w:t xml:space="preserve">[</w:t>
      </w:r>
      <w:r>
        <w:rPr>
          <w:rStyle w:val="FloatTok"/>
        </w:rPr>
        <w:t xml:space="preserve">0.12</w:t>
      </w:r>
      <w:r>
        <w:rPr>
          <w:rStyle w:val="OtherTok"/>
        </w:rPr>
        <w:t xml:space="preserve">,</w:t>
      </w:r>
      <w:r>
        <w:rPr>
          <w:rStyle w:val="NormalTok"/>
        </w:rPr>
        <w:t xml:space="preserve"> </w:t>
      </w:r>
      <w:r>
        <w:rPr>
          <w:rStyle w:val="FloatTok"/>
        </w:rPr>
        <w:t xml:space="preserve">-0.08</w:t>
      </w:r>
      <w:r>
        <w:rPr>
          <w:rStyle w:val="OtherTok"/>
        </w:rPr>
        <w:t xml:space="preserve">,</w:t>
      </w:r>
      <w:r>
        <w:rPr>
          <w:rStyle w:val="NormalTok"/>
        </w:rPr>
        <w:t xml:space="preserve"> </w:t>
      </w:r>
      <w:r>
        <w:rPr>
          <w:rStyle w:val="FloatTok"/>
        </w:rPr>
        <w:t xml:space="preserve">0.03</w:t>
      </w:r>
      <w:r>
        <w:rPr>
          <w:rStyle w:val="OtherTok"/>
        </w:rPr>
        <w:t xml:space="preserve">]</w:t>
      </w:r>
      <w:r>
        <w:rPr>
          <w:rStyle w:val="FunctionTok"/>
        </w:rPr>
        <w:t xml:space="preserve">,</w:t>
      </w:r>
      <w:r>
        <w:br/>
      </w:r>
      <w:r>
        <w:rPr>
          <w:rStyle w:val="NormalTok"/>
        </w:rPr>
        <w:t xml:space="preserve">  </w:t>
      </w:r>
      <w:r>
        <w:rPr>
          <w:rStyle w:val="DataTypeTok"/>
        </w:rPr>
        <w:t xml:space="preserve">"intervention"</w:t>
      </w:r>
      <w:r>
        <w:rPr>
          <w:rStyle w:val="FunctionTok"/>
        </w:rPr>
        <w:t xml:space="preserve">:</w:t>
      </w:r>
      <w:r>
        <w:rPr>
          <w:rStyle w:val="NormalTok"/>
        </w:rPr>
        <w:t xml:space="preserve"> </w:t>
      </w:r>
      <w:r>
        <w:rPr>
          <w:rStyle w:val="StringTok"/>
        </w:rPr>
        <w:t xml:space="preserve">"none"</w:t>
      </w:r>
      <w:r>
        <w:rPr>
          <w:rStyle w:val="FunctionTok"/>
        </w:rPr>
        <w:t xml:space="preserve">,</w:t>
      </w:r>
      <w:r>
        <w:br/>
      </w:r>
      <w:r>
        <w:rPr>
          <w:rStyle w:val="NormalTok"/>
        </w:rPr>
        <w:t xml:space="preserve">  </w:t>
      </w:r>
      <w:r>
        <w:rPr>
          <w:rStyle w:val="DataTypeTok"/>
        </w:rPr>
        <w:t xml:space="preserve">"capability_index"</w:t>
      </w:r>
      <w:r>
        <w:rPr>
          <w:rStyle w:val="FunctionTok"/>
        </w:rPr>
        <w:t xml:space="preserve">:</w:t>
      </w:r>
      <w:r>
        <w:rPr>
          <w:rStyle w:val="NormalTok"/>
        </w:rPr>
        <w:t xml:space="preserve"> </w:t>
      </w:r>
      <w:r>
        <w:rPr>
          <w:rStyle w:val="FloatTok"/>
        </w:rPr>
        <w:t xml:space="preserve">1.24</w:t>
      </w:r>
      <w:r>
        <w:rPr>
          <w:rStyle w:val="FunctionTok"/>
        </w:rPr>
        <w:t xml:space="preserve">,</w:t>
      </w:r>
      <w:r>
        <w:br/>
      </w:r>
      <w:r>
        <w:rPr>
          <w:rStyle w:val="NormalTok"/>
        </w:rPr>
        <w:t xml:space="preserve">  </w:t>
      </w:r>
      <w:r>
        <w:rPr>
          <w:rStyle w:val="DataTypeTok"/>
        </w:rPr>
        <w:t xml:space="preserve">"stability_status"</w:t>
      </w:r>
      <w:r>
        <w:rPr>
          <w:rStyle w:val="FunctionTok"/>
        </w:rPr>
        <w:t xml:space="preserve">:</w:t>
      </w:r>
      <w:r>
        <w:rPr>
          <w:rStyle w:val="NormalTok"/>
        </w:rPr>
        <w:t xml:space="preserve"> </w:t>
      </w:r>
      <w:r>
        <w:rPr>
          <w:rStyle w:val="StringTok"/>
        </w:rPr>
        <w:t xml:space="preserve">"in_control"</w:t>
      </w:r>
      <w:r>
        <w:br/>
      </w:r>
      <w:r>
        <w:rPr>
          <w:rStyle w:val="FunctionTok"/>
        </w:rPr>
        <w:t xml:space="preserve">}</w:t>
      </w:r>
    </w:p>
    <w:p>
      <w:pPr>
        <w:pStyle w:val="FirstParagraph"/>
      </w:pPr>
      <w:r>
        <w:t xml:space="preserve">This creates the audit trail regulators require—demonstrable evidence of continuous governance.</w:t>
      </w:r>
    </w:p>
    <w:bookmarkEnd w:id="63"/>
    <w:bookmarkStart w:id="64" w:name="deployment-modes"/>
    <w:p>
      <w:pPr>
        <w:pStyle w:val="Heading3"/>
      </w:pPr>
      <w:r>
        <w:t xml:space="preserve">6.5 Deployment Modes</w:t>
      </w:r>
    </w:p>
    <w:p>
      <w:pPr>
        <w:pStyle w:val="FirstParagraph"/>
      </w:pPr>
      <w:r>
        <w:t xml:space="preserve">TELOS supports three deployment architectures:</w:t>
      </w:r>
    </w:p>
    <w:p>
      <w:pPr>
        <w:pStyle w:val="BodyText"/>
      </w:pPr>
      <w:r>
        <w:rPr>
          <w:bCs/>
          <w:b/>
        </w:rPr>
        <w:t xml:space="preserve">Inline Mode</w:t>
      </w:r>
      <w:r>
        <w:t xml:space="preserve">: Direct integration with model API</w:t>
      </w:r>
      <w:r>
        <w:t xml:space="preserve"> </w:t>
      </w:r>
      <w:r>
        <w:t xml:space="preserve">- Lowest latency</w:t>
      </w:r>
      <w:r>
        <w:t xml:space="preserve"> </w:t>
      </w:r>
      <w:r>
        <w:t xml:space="preserve">- Requires provider cooperation</w:t>
      </w:r>
      <w:r>
        <w:t xml:space="preserve"> </w:t>
      </w:r>
      <w:r>
        <w:t xml:space="preserve">- Maximum control</w:t>
      </w:r>
    </w:p>
    <w:p>
      <w:pPr>
        <w:pStyle w:val="BodyText"/>
      </w:pPr>
      <w:r>
        <w:rPr>
          <w:bCs/>
          <w:b/>
        </w:rPr>
        <w:t xml:space="preserve">Proxy Mode</w:t>
      </w:r>
      <w:r>
        <w:t xml:space="preserve">: Transparent intermediary</w:t>
      </w:r>
      <w:r>
        <w:t xml:space="preserve"> </w:t>
      </w:r>
      <w:r>
        <w:t xml:space="preserve">- No model changes needed</w:t>
      </w:r>
      <w:r>
        <w:t xml:space="preserve"> </w:t>
      </w:r>
      <w:r>
        <w:t xml:space="preserve">- Adds ~50ms latency</w:t>
      </w:r>
      <w:r>
        <w:t xml:space="preserve"> </w:t>
      </w:r>
      <w:r>
        <w:t xml:space="preserve">- Enterprise-friendly</w:t>
      </w:r>
    </w:p>
    <w:p>
      <w:pPr>
        <w:pStyle w:val="BodyText"/>
      </w:pPr>
      <w:r>
        <w:rPr>
          <w:bCs/>
          <w:b/>
        </w:rPr>
        <w:t xml:space="preserve">Sidecar Mode</w:t>
      </w:r>
      <w:r>
        <w:t xml:space="preserve">: Parallel monitoring</w:t>
      </w:r>
      <w:r>
        <w:t xml:space="preserve"> </w:t>
      </w:r>
      <w:r>
        <w:t xml:space="preserve">- Observation without intervention</w:t>
      </w:r>
      <w:r>
        <w:t xml:space="preserve"> </w:t>
      </w:r>
      <w:r>
        <w:t xml:space="preserve">- Compliance reporting only</w:t>
      </w:r>
      <w:r>
        <w:t xml:space="preserve"> </w:t>
      </w:r>
      <w:r>
        <w:t xml:space="preserve">- Zero production impact</w:t>
      </w:r>
    </w:p>
    <w:p>
      <w:r>
        <w:pict>
          <v:rect style="width:0;height:1.5pt" o:hralign="center" o:hrstd="t" o:hr="t"/>
        </w:pict>
      </w:r>
    </w:p>
    <w:bookmarkEnd w:id="64"/>
    <w:bookmarkEnd w:id="65"/>
    <w:bookmarkStart w:id="70" w:name="X4554c23106d00a73e760e4cbe6ecd4a94687c79"/>
    <w:p>
      <w:pPr>
        <w:pStyle w:val="Heading2"/>
      </w:pPr>
      <w:r>
        <w:t xml:space="preserve">7. Regulatory Alignment: TELOS as Quality System for AI</w:t>
      </w:r>
    </w:p>
    <w:bookmarkStart w:id="66" w:name="Xa76d977aa68994c9083a5e97d3bc51e21c78974"/>
    <w:p>
      <w:pPr>
        <w:pStyle w:val="Heading3"/>
      </w:pPr>
      <w:r>
        <w:t xml:space="preserve">7.1 EU AI Act — Article 72: Continuous Post-Market Monitoring</w:t>
      </w:r>
    </w:p>
    <w:p>
      <w:pPr>
        <w:pStyle w:val="FirstParagraph"/>
      </w:pPr>
      <w:r>
        <w:t xml:space="preserve">TELOS directly addresses Article 72 requirements:</w:t>
      </w:r>
    </w:p>
    <w:p>
      <w:pPr>
        <w:pStyle w:val="BodyText"/>
      </w:pPr>
      <w:r>
        <w:rPr>
          <w:bCs/>
          <w:b/>
        </w:rPr>
        <w:t xml:space="preserve">Requirement</w:t>
      </w:r>
      <w:r>
        <w:t xml:space="preserve">:</w:t>
      </w:r>
      <w:r>
        <w:t xml:space="preserve"> </w:t>
      </w:r>
      <w:r>
        <w:t xml:space="preserve">“</w:t>
      </w:r>
      <w:r>
        <w:t xml:space="preserve">Systematic and continuous plan</w:t>
      </w:r>
      <w:r>
        <w:t xml:space="preserve">”</w:t>
      </w:r>
      <w:r>
        <w:br/>
      </w:r>
      <w:r>
        <w:rPr>
          <w:bCs/>
          <w:b/>
        </w:rPr>
        <w:t xml:space="preserve">TELOS</w:t>
      </w:r>
      <w:r>
        <w:t xml:space="preserve">: Every turn monitored, measured, logged</w:t>
      </w:r>
    </w:p>
    <w:p>
      <w:pPr>
        <w:pStyle w:val="BodyText"/>
      </w:pPr>
      <w:r>
        <w:rPr>
          <w:bCs/>
          <w:b/>
        </w:rPr>
        <w:t xml:space="preserve">Requirement</w:t>
      </w:r>
      <w:r>
        <w:t xml:space="preserve">:</w:t>
      </w:r>
      <w:r>
        <w:t xml:space="preserve"> </w:t>
      </w:r>
      <w:r>
        <w:t xml:space="preserve">“</w:t>
      </w:r>
      <w:r>
        <w:t xml:space="preserve">Gather, document, analyze relevant data</w:t>
      </w:r>
      <w:r>
        <w:t xml:space="preserve">”</w:t>
      </w:r>
      <w:r>
        <w:br/>
      </w:r>
      <w:r>
        <w:rPr>
          <w:bCs/>
          <w:b/>
        </w:rPr>
        <w:t xml:space="preserve">TELOS</w:t>
      </w:r>
      <w:r>
        <w:t xml:space="preserve">: Fidelity scores, drift vectors, intervention logs</w:t>
      </w:r>
    </w:p>
    <w:p>
      <w:pPr>
        <w:pStyle w:val="BodyText"/>
      </w:pPr>
      <w:r>
        <w:rPr>
          <w:bCs/>
          <w:b/>
        </w:rPr>
        <w:t xml:space="preserve">Requirement</w:t>
      </w:r>
      <w:r>
        <w:t xml:space="preserve">:</w:t>
      </w:r>
      <w:r>
        <w:t xml:space="preserve"> </w:t>
      </w:r>
      <w:r>
        <w:t xml:space="preserve">“</w:t>
      </w:r>
      <w:r>
        <w:t xml:space="preserve">Review experience gained from use</w:t>
      </w:r>
      <w:r>
        <w:t xml:space="preserve">”</w:t>
      </w:r>
      <w:r>
        <w:br/>
      </w:r>
      <w:r>
        <w:rPr>
          <w:bCs/>
          <w:b/>
        </w:rPr>
        <w:t xml:space="preserve">TELOS</w:t>
      </w:r>
      <w:r>
        <w:t xml:space="preserve">: Statistical analysis, capability indices, trend detection</w:t>
      </w:r>
    </w:p>
    <w:p>
      <w:pPr>
        <w:pStyle w:val="BodyText"/>
      </w:pPr>
      <w:r>
        <w:t xml:space="preserve">The February 2026 template will specify technical details. TELOS provides the measurement primitives any compliant system will require.</w:t>
      </w:r>
    </w:p>
    <w:bookmarkEnd w:id="66"/>
    <w:bookmarkStart w:id="67" w:name="X4c7937898a98b294bbf1f2fc6650b3c307458e1"/>
    <w:p>
      <w:pPr>
        <w:pStyle w:val="Heading3"/>
      </w:pPr>
      <w:r>
        <w:t xml:space="preserve">7.2 FDA Quality Systems Regulation (21 CFR Part 820)</w:t>
      </w:r>
    </w:p>
    <w:p>
      <w:pPr>
        <w:pStyle w:val="FirstParagraph"/>
      </w:pPr>
      <w:r>
        <w:t xml:space="preserve">For AI in medical devices, TELOS maps to QSR:</w:t>
      </w:r>
    </w:p>
    <w:p>
      <w:pPr>
        <w:pStyle w:val="BodyText"/>
      </w:pPr>
      <w:r>
        <w:rPr>
          <w:bCs/>
          <w:b/>
        </w:rPr>
        <w:t xml:space="preserve">§820.70 Production Controls</w:t>
      </w:r>
      <w:r>
        <w:t xml:space="preserve">:</w:t>
      </w:r>
      <w:r>
        <w:t xml:space="preserve"> </w:t>
      </w:r>
      <w:r>
        <w:t xml:space="preserve">-</w:t>
      </w:r>
      <w:r>
        <w:t xml:space="preserve"> </w:t>
      </w:r>
      <w:r>
        <w:t xml:space="preserve">“</w:t>
      </w:r>
      <w:r>
        <w:t xml:space="preserve">Validated processes shall be monitored</w:t>
      </w:r>
      <w:r>
        <w:t xml:space="preserve">”</w:t>
      </w:r>
      <w:r>
        <w:t xml:space="preserve"> </w:t>
      </w:r>
      <w:r>
        <w:t xml:space="preserve">- TELOS: Continuous fidelity monitoring</w:t>
      </w:r>
    </w:p>
    <w:p>
      <w:pPr>
        <w:pStyle w:val="BodyText"/>
      </w:pPr>
      <w:r>
        <w:rPr>
          <w:bCs/>
          <w:b/>
        </w:rPr>
        <w:t xml:space="preserve">§820.75 Process Validation</w:t>
      </w:r>
      <w:r>
        <w:t xml:space="preserve">:</w:t>
      </w:r>
      <w:r>
        <w:t xml:space="preserve"> </w:t>
      </w:r>
      <w:r>
        <w:t xml:space="preserve">-</w:t>
      </w:r>
      <w:r>
        <w:t xml:space="preserve"> </w:t>
      </w:r>
      <w:r>
        <w:t xml:space="preserve">“</w:t>
      </w:r>
      <w:r>
        <w:t xml:space="preserve">High degree of assurance without full verification</w:t>
      </w:r>
      <w:r>
        <w:t xml:space="preserve">”</w:t>
      </w:r>
      <w:r>
        <w:t xml:space="preserve"> </w:t>
      </w:r>
      <w:r>
        <w:t xml:space="preserve">- TELOS: Statistical confidence through SPC</w:t>
      </w:r>
    </w:p>
    <w:p>
      <w:pPr>
        <w:pStyle w:val="BodyText"/>
      </w:pPr>
      <w:r>
        <w:rPr>
          <w:bCs/>
          <w:b/>
        </w:rPr>
        <w:t xml:space="preserve">§820.90 Nonconforming Product</w:t>
      </w:r>
      <w:r>
        <w:t xml:space="preserve">:</w:t>
      </w:r>
      <w:r>
        <w:t xml:space="preserve"> </w:t>
      </w:r>
      <w:r>
        <w:t xml:space="preserve">-</w:t>
      </w:r>
      <w:r>
        <w:t xml:space="preserve"> </w:t>
      </w:r>
      <w:r>
        <w:t xml:space="preserve">“</w:t>
      </w:r>
      <w:r>
        <w:t xml:space="preserve">Control to prevent unintended use</w:t>
      </w:r>
      <w:r>
        <w:t xml:space="preserve">”</w:t>
      </w:r>
      <w:r>
        <w:t xml:space="preserve"> </w:t>
      </w:r>
      <w:r>
        <w:t xml:space="preserve">- TELOS: Intervention blocks non-compliant outputs</w:t>
      </w:r>
    </w:p>
    <w:bookmarkEnd w:id="67"/>
    <w:bookmarkStart w:id="68" w:name="X9bf8784ad54d636913afcc4cc6b15c9a7028b6e"/>
    <w:p>
      <w:pPr>
        <w:pStyle w:val="Heading3"/>
      </w:pPr>
      <w:r>
        <w:t xml:space="preserve">7.3 ISO 9001 / ISO 13485 — Continuous Improvement and Traceability</w:t>
      </w:r>
    </w:p>
    <w:p>
      <w:pPr>
        <w:pStyle w:val="FirstParagraph"/>
      </w:pPr>
      <w:r>
        <w:t xml:space="preserve">TELOS implements ISO quality principles:</w:t>
      </w:r>
    </w:p>
    <w:p>
      <w:pPr>
        <w:pStyle w:val="BodyText"/>
      </w:pPr>
      <w:r>
        <w:rPr>
          <w:bCs/>
          <w:b/>
        </w:rPr>
        <w:t xml:space="preserve">Plan-Do-Check-Act</w:t>
      </w:r>
      <w:r>
        <w:t xml:space="preserve"> </w:t>
      </w:r>
      <w:r>
        <w:t xml:space="preserve">(PDCA):</w:t>
      </w:r>
      <w:r>
        <w:t xml:space="preserve"> </w:t>
      </w:r>
      <w:r>
        <w:t xml:space="preserve">- Plan: Define governance via Primacy Attractor</w:t>
      </w:r>
      <w:r>
        <w:t xml:space="preserve"> </w:t>
      </w:r>
      <w:r>
        <w:t xml:space="preserve">- Do: Generate responses under governance</w:t>
      </w:r>
      <w:r>
        <w:t xml:space="preserve"> </w:t>
      </w:r>
      <w:r>
        <w:t xml:space="preserve">- Check: Measure fidelity and drift</w:t>
      </w:r>
      <w:r>
        <w:t xml:space="preserve"> </w:t>
      </w:r>
      <w:r>
        <w:t xml:space="preserve">- Act: Apply proportional correction</w:t>
      </w:r>
    </w:p>
    <w:p>
      <w:pPr>
        <w:pStyle w:val="BodyText"/>
      </w:pPr>
      <w:r>
        <w:rPr>
          <w:bCs/>
          <w:b/>
        </w:rPr>
        <w:t xml:space="preserve">Clause 10.2 Nonconformity and Corrective Action</w:t>
      </w:r>
      <w:r>
        <w:t xml:space="preserve">:</w:t>
      </w:r>
      <w:r>
        <w:t xml:space="preserve"> </w:t>
      </w:r>
      <w:r>
        <w:t xml:space="preserve">- Detect nonconformity: Fidelity below threshold</w:t>
      </w:r>
      <w:r>
        <w:t xml:space="preserve"> </w:t>
      </w:r>
      <w:r>
        <w:t xml:space="preserve">- Correct immediately: Proportional intervention</w:t>
      </w:r>
      <w:r>
        <w:t xml:space="preserve"> </w:t>
      </w:r>
      <w:r>
        <w:t xml:space="preserve">- Prevent recurrence: Update control parameters</w:t>
      </w:r>
    </w:p>
    <w:bookmarkEnd w:id="68"/>
    <w:bookmarkStart w:id="69" w:name="mapping-telos-to-qsr-requirements"/>
    <w:p>
      <w:pPr>
        <w:pStyle w:val="Heading3"/>
      </w:pPr>
      <w:r>
        <w:t xml:space="preserve">7.4 Mapping TELOS to QSR Requirements</w:t>
      </w:r>
    </w:p>
    <w:tbl>
      <w:tblPr>
        <w:tblStyle w:val="Table"/>
        <w:tblW w:type="pct" w:w="5000"/>
        <w:tblLook w:firstRow="1" w:lastRow="0" w:firstColumn="0" w:lastColumn="0" w:noHBand="0" w:noVBand="0" w:val="0020"/>
        <w:jc w:val="start"/>
      </w:tblPr>
      <w:tblGrid>
        <w:gridCol w:w="3452"/>
        <w:gridCol w:w="4467"/>
      </w:tblGrid>
      <w:tr>
        <w:trPr>
          <w:tblHeader w:val="true"/>
        </w:trPr>
        <w:tc>
          <w:tcPr/>
          <w:p>
            <w:pPr>
              <w:pStyle w:val="Compact"/>
              <w:jc w:val="left"/>
            </w:pPr>
            <w:r>
              <w:t xml:space="preserve">QSR Requirement</w:t>
            </w:r>
          </w:p>
        </w:tc>
        <w:tc>
          <w:tcPr/>
          <w:p>
            <w:pPr>
              <w:pStyle w:val="Compact"/>
              <w:jc w:val="left"/>
            </w:pPr>
            <w:r>
              <w:t xml:space="preserve">TELOS Implementation</w:t>
            </w:r>
          </w:p>
        </w:tc>
      </w:tr>
      <w:tr>
        <w:tc>
          <w:tcPr/>
          <w:p>
            <w:pPr>
              <w:pStyle w:val="Compact"/>
              <w:jc w:val="left"/>
            </w:pPr>
            <w:r>
              <w:t xml:space="preserve">Design Controls (§820.30)</w:t>
            </w:r>
          </w:p>
        </w:tc>
        <w:tc>
          <w:tcPr/>
          <w:p>
            <w:pPr>
              <w:pStyle w:val="Compact"/>
              <w:jc w:val="left"/>
            </w:pPr>
            <w:r>
              <w:t xml:space="preserve">Governance vectors defined at session start</w:t>
            </w:r>
          </w:p>
        </w:tc>
      </w:tr>
      <w:tr>
        <w:tc>
          <w:tcPr/>
          <w:p>
            <w:pPr>
              <w:pStyle w:val="Compact"/>
              <w:jc w:val="left"/>
            </w:pPr>
            <w:r>
              <w:t xml:space="preserve">Document Controls (§820.40)</w:t>
            </w:r>
          </w:p>
        </w:tc>
        <w:tc>
          <w:tcPr/>
          <w:p>
            <w:pPr>
              <w:pStyle w:val="Compact"/>
              <w:jc w:val="left"/>
            </w:pPr>
            <w:r>
              <w:t xml:space="preserve">Telemetry logs create complete audit trail</w:t>
            </w:r>
          </w:p>
        </w:tc>
      </w:tr>
      <w:tr>
        <w:tc>
          <w:tcPr/>
          <w:p>
            <w:pPr>
              <w:pStyle w:val="Compact"/>
              <w:jc w:val="left"/>
            </w:pPr>
            <w:r>
              <w:t xml:space="preserve">Corrective Action (§820.100)</w:t>
            </w:r>
          </w:p>
        </w:tc>
        <w:tc>
          <w:tcPr/>
          <w:p>
            <w:pPr>
              <w:pStyle w:val="Compact"/>
              <w:jc w:val="left"/>
            </w:pPr>
            <w:r>
              <w:t xml:space="preserve">Proportional control applies scaled correction</w:t>
            </w:r>
          </w:p>
        </w:tc>
      </w:tr>
      <w:tr>
        <w:tc>
          <w:tcPr/>
          <w:p>
            <w:pPr>
              <w:pStyle w:val="Compact"/>
              <w:jc w:val="left"/>
            </w:pPr>
            <w:r>
              <w:t xml:space="preserve">Quality Records (§820.180)</w:t>
            </w:r>
          </w:p>
        </w:tc>
        <w:tc>
          <w:tcPr/>
          <w:p>
            <w:pPr>
              <w:pStyle w:val="Compact"/>
              <w:jc w:val="left"/>
            </w:pPr>
            <w:r>
              <w:t xml:space="preserve">All measurements and interventions logged</w:t>
            </w:r>
          </w:p>
        </w:tc>
      </w:tr>
      <w:tr>
        <w:tc>
          <w:tcPr/>
          <w:p>
            <w:pPr>
              <w:pStyle w:val="Compact"/>
              <w:jc w:val="left"/>
            </w:pPr>
            <w:r>
              <w:t xml:space="preserve">Statistical Techniques (§820.250)</w:t>
            </w:r>
          </w:p>
        </w:tc>
        <w:tc>
          <w:tcPr/>
          <w:p>
            <w:pPr>
              <w:pStyle w:val="Compact"/>
              <w:jc w:val="left"/>
            </w:pPr>
            <w:r>
              <w:t xml:space="preserve">SPC, capability indices, control charts</w:t>
            </w:r>
          </w:p>
        </w:tc>
      </w:tr>
    </w:tbl>
    <w:p>
      <w:r>
        <w:pict>
          <v:rect style="width:0;height:1.5pt" o:hralign="center" o:hrstd="t" o:hr="t"/>
        </w:pict>
      </w:r>
    </w:p>
    <w:bookmarkEnd w:id="69"/>
    <w:bookmarkEnd w:id="70"/>
    <w:bookmarkStart w:id="74" w:name="limitations-and-future-work"/>
    <w:p>
      <w:pPr>
        <w:pStyle w:val="Heading2"/>
      </w:pPr>
      <w:r>
        <w:t xml:space="preserve">8. Limitations and Future Work</w:t>
      </w:r>
    </w:p>
    <w:bookmarkStart w:id="71" w:name="current-limitations"/>
    <w:p>
      <w:pPr>
        <w:pStyle w:val="Heading3"/>
      </w:pPr>
      <w:r>
        <w:t xml:space="preserve">8.1 Current Limitations</w:t>
      </w:r>
    </w:p>
    <w:p>
      <w:pPr>
        <w:pStyle w:val="FirstParagraph"/>
      </w:pPr>
      <w:r>
        <w:rPr>
          <w:bCs/>
          <w:b/>
        </w:rPr>
        <w:t xml:space="preserve">Validated vs Unvalidated Components</w:t>
      </w:r>
      <w:r>
        <w:t xml:space="preserve">:</w:t>
      </w:r>
      <w:r>
        <w:t xml:space="preserve"> </w:t>
      </w:r>
      <w:r>
        <w:t xml:space="preserve">- ✅ Dual PA architecture effectiveness (validated)</w:t>
      </w:r>
      <w:r>
        <w:t xml:space="preserve"> </w:t>
      </w:r>
      <w:r>
        <w:t xml:space="preserve">- ⏳ Runtime intervention effectiveness (requires validation)</w:t>
      </w:r>
      <w:r>
        <w:t xml:space="preserve"> </w:t>
      </w:r>
      <w:r>
        <w:t xml:space="preserve">- ⏳ Cross-model generalization (partial evidence)</w:t>
      </w:r>
      <w:r>
        <w:t xml:space="preserve"> </w:t>
      </w:r>
      <w:r>
        <w:t xml:space="preserve">- ⏳ Human judgment correlation (not yet tested)</w:t>
      </w:r>
    </w:p>
    <w:p>
      <w:pPr>
        <w:pStyle w:val="BodyText"/>
      </w:pPr>
      <w:r>
        <w:rPr>
          <w:bCs/>
          <w:b/>
        </w:rPr>
        <w:t xml:space="preserve">Technical Constraints</w:t>
      </w:r>
      <w:r>
        <w:t xml:space="preserve">:</w:t>
      </w:r>
      <w:r>
        <w:t xml:space="preserve"> </w:t>
      </w:r>
      <w:r>
        <w:t xml:space="preserve">- Embedding quality depends on transformer models</w:t>
      </w:r>
      <w:r>
        <w:t xml:space="preserve"> </w:t>
      </w:r>
      <w:r>
        <w:t xml:space="preserve">- Latency adds 20-50ms per turn</w:t>
      </w:r>
      <w:r>
        <w:t xml:space="preserve"> </w:t>
      </w:r>
      <w:r>
        <w:t xml:space="preserve">- Requires computational resources for real-time processing</w:t>
      </w:r>
    </w:p>
    <w:p>
      <w:pPr>
        <w:pStyle w:val="BodyText"/>
      </w:pPr>
      <w:r>
        <w:rPr>
          <w:bCs/>
          <w:b/>
        </w:rPr>
        <w:t xml:space="preserve">Scope Boundaries</w:t>
      </w:r>
      <w:r>
        <w:t xml:space="preserve">:</w:t>
      </w:r>
      <w:r>
        <w:t xml:space="preserve"> </w:t>
      </w:r>
      <w:r>
        <w:t xml:space="preserve">- Session-level governance (not system-wide)</w:t>
      </w:r>
      <w:r>
        <w:t xml:space="preserve"> </w:t>
      </w:r>
      <w:r>
        <w:t xml:space="preserve">- Declared constraints (not inferred values)</w:t>
      </w:r>
      <w:r>
        <w:t xml:space="preserve"> </w:t>
      </w:r>
      <w:r>
        <w:t xml:space="preserve">- Measurable properties (not all governance aspects)</w:t>
      </w:r>
    </w:p>
    <w:bookmarkEnd w:id="71"/>
    <w:bookmarkStart w:id="72" w:name="future-research-directions"/>
    <w:p>
      <w:pPr>
        <w:pStyle w:val="Heading3"/>
      </w:pPr>
      <w:r>
        <w:t xml:space="preserve">8.2 Future Research Directions</w:t>
      </w:r>
    </w:p>
    <w:p>
      <w:pPr>
        <w:pStyle w:val="FirstParagraph"/>
      </w:pPr>
      <w:r>
        <w:rPr>
          <w:bCs/>
          <w:b/>
        </w:rPr>
        <w:t xml:space="preserve">Multi-Attractor Hierarchies</w:t>
      </w:r>
      <w:r>
        <w:t xml:space="preserve">: Can we compose attractors for complex governance?</w:t>
      </w:r>
    </w:p>
    <w:p>
      <w:pPr>
        <w:pStyle w:val="BodyText"/>
      </w:pPr>
      <w:r>
        <w:rPr>
          <w:bCs/>
          <w:b/>
        </w:rPr>
        <w:t xml:space="preserve">Adaptive Basin Geometry</w:t>
      </w:r>
      <w:r>
        <w:t xml:space="preserve">: Should tolerance adjust based on conversation dynamics?</w:t>
      </w:r>
    </w:p>
    <w:p>
      <w:pPr>
        <w:pStyle w:val="BodyText"/>
      </w:pPr>
      <w:r>
        <w:rPr>
          <w:bCs/>
          <w:b/>
        </w:rPr>
        <w:t xml:space="preserve">Cross-Modal Governance</w:t>
      </w:r>
      <w:r>
        <w:t xml:space="preserve">: Can principles extend to multimodal systems?</w:t>
      </w:r>
    </w:p>
    <w:p>
      <w:pPr>
        <w:pStyle w:val="BodyText"/>
      </w:pPr>
      <w:r>
        <w:rPr>
          <w:bCs/>
          <w:b/>
        </w:rPr>
        <w:t xml:space="preserve">Federated Validation</w:t>
      </w:r>
      <w:r>
        <w:t xml:space="preserve">: Privacy-preserving protocols for institutional data</w:t>
      </w:r>
    </w:p>
    <w:p>
      <w:pPr>
        <w:pStyle w:val="BodyText"/>
      </w:pPr>
      <w:r>
        <w:rPr>
          <w:bCs/>
          <w:b/>
        </w:rPr>
        <w:t xml:space="preserve">Regulatory Co-Design</w:t>
      </w:r>
      <w:r>
        <w:t xml:space="preserve">: Collaborate with regulators on standard development</w:t>
      </w:r>
    </w:p>
    <w:bookmarkEnd w:id="72"/>
    <w:bookmarkStart w:id="73" w:name="the-path-forward"/>
    <w:p>
      <w:pPr>
        <w:pStyle w:val="Heading3"/>
      </w:pPr>
      <w:r>
        <w:t xml:space="preserve">8.3 The Path Forward</w:t>
      </w:r>
    </w:p>
    <w:p>
      <w:pPr>
        <w:pStyle w:val="FirstParagraph"/>
      </w:pPr>
      <w:r>
        <w:t xml:space="preserve">November 2024 validation results demonstrate that mathematical governance is achievable. The dual PA architecture produces measurably superior alignment. The next phases focus on:</w:t>
      </w:r>
    </w:p>
    <w:p>
      <w:pPr>
        <w:numPr>
          <w:ilvl w:val="0"/>
          <w:numId w:val="1016"/>
        </w:numPr>
        <w:pStyle w:val="Compact"/>
      </w:pPr>
      <w:r>
        <w:rPr>
          <w:bCs/>
          <w:b/>
        </w:rPr>
        <w:t xml:space="preserve">Runtime validation</w:t>
      </w:r>
      <w:r>
        <w:t xml:space="preserve">: Testing MBL intervention in live sessions</w:t>
      </w:r>
    </w:p>
    <w:p>
      <w:pPr>
        <w:numPr>
          <w:ilvl w:val="0"/>
          <w:numId w:val="1016"/>
        </w:numPr>
        <w:pStyle w:val="Compact"/>
      </w:pPr>
      <w:r>
        <w:rPr>
          <w:bCs/>
          <w:b/>
        </w:rPr>
        <w:t xml:space="preserve">Scale validation</w:t>
      </w:r>
      <w:r>
        <w:t xml:space="preserve">: Expanding to 500+ session corpus</w:t>
      </w:r>
    </w:p>
    <w:p>
      <w:pPr>
        <w:numPr>
          <w:ilvl w:val="0"/>
          <w:numId w:val="1016"/>
        </w:numPr>
        <w:pStyle w:val="Compact"/>
      </w:pPr>
      <w:r>
        <w:rPr>
          <w:bCs/>
          <w:b/>
        </w:rPr>
        <w:t xml:space="preserve">Regulatory engagement</w:t>
      </w:r>
      <w:r>
        <w:t xml:space="preserve">: Working with auditors on evidence standards</w:t>
      </w:r>
    </w:p>
    <w:p>
      <w:pPr>
        <w:numPr>
          <w:ilvl w:val="0"/>
          <w:numId w:val="1016"/>
        </w:numPr>
        <w:pStyle w:val="Compact"/>
      </w:pPr>
      <w:r>
        <w:rPr>
          <w:bCs/>
          <w:b/>
        </w:rPr>
        <w:t xml:space="preserve">Standardization</w:t>
      </w:r>
      <w:r>
        <w:t xml:space="preserve">: Contributing to technical frameworks for AI Act compliance</w:t>
      </w:r>
    </w:p>
    <w:p>
      <w:r>
        <w:pict>
          <v:rect style="width:0;height:1.5pt" o:hralign="center" o:hrstd="t" o:hr="t"/>
        </w:pict>
      </w:r>
    </w:p>
    <w:bookmarkEnd w:id="73"/>
    <w:bookmarkEnd w:id="74"/>
    <w:bookmarkStart w:id="75" w:name="X434d211169a6b545ced1f1dd9f98b5538ca25d1"/>
    <w:p>
      <w:pPr>
        <w:pStyle w:val="Heading2"/>
      </w:pPr>
      <w:r>
        <w:t xml:space="preserve">9. Conclusion: From Aspiration to Engineering</w:t>
      </w:r>
    </w:p>
    <w:p>
      <w:pPr>
        <w:pStyle w:val="FirstParagraph"/>
      </w:pPr>
      <w:r>
        <w:t xml:space="preserve">The validation of dual Primacy Attractor architecture marks a critical transition: AI governance is no longer purely aspirational but partially demonstrated through mathematical control. The +85.32% improvement over single-attractor baselines, achieved across 46 real-world conversations, proves that purpose adherence can be treated as a measurable property subject to continuous process control.</w:t>
      </w:r>
    </w:p>
    <w:p>
      <w:pPr>
        <w:pStyle w:val="BodyText"/>
      </w:pPr>
      <w:r>
        <w:t xml:space="preserve">What we have achieved:</w:t>
      </w:r>
      <w:r>
        <w:t xml:space="preserve"> </w:t>
      </w:r>
      <w:r>
        <w:t xml:space="preserve">-</w:t>
      </w:r>
      <w:r>
        <w:t xml:space="preserve"> </w:t>
      </w:r>
      <w:r>
        <w:rPr>
          <w:bCs/>
          <w:b/>
        </w:rPr>
        <w:t xml:space="preserve">Mathematical formalism</w:t>
      </w:r>
      <w:r>
        <w:t xml:space="preserve">: Governance expressed as control equations</w:t>
      </w:r>
      <w:r>
        <w:t xml:space="preserve"> </w:t>
      </w:r>
      <w:r>
        <w:t xml:space="preserve">-</w:t>
      </w:r>
      <w:r>
        <w:t xml:space="preserve"> </w:t>
      </w:r>
      <w:r>
        <w:rPr>
          <w:bCs/>
          <w:b/>
        </w:rPr>
        <w:t xml:space="preserve">Validated architecture</w:t>
      </w:r>
      <w:r>
        <w:t xml:space="preserve">: Dual PA demonstrably superior to single PA</w:t>
      </w:r>
      <w:r>
        <w:t xml:space="preserve"> </w:t>
      </w:r>
      <w:r>
        <w:t xml:space="preserve">-</w:t>
      </w:r>
      <w:r>
        <w:t xml:space="preserve"> </w:t>
      </w:r>
      <w:r>
        <w:rPr>
          <w:bCs/>
          <w:b/>
        </w:rPr>
        <w:t xml:space="preserve">Perfect alignment</w:t>
      </w:r>
      <w:r>
        <w:t xml:space="preserve">: 1.0000 fidelity maintained across 51 turns</w:t>
      </w:r>
      <w:r>
        <w:t xml:space="preserve"> </w:t>
      </w:r>
      <w:r>
        <w:t xml:space="preserve">-</w:t>
      </w:r>
      <w:r>
        <w:t xml:space="preserve"> </w:t>
      </w:r>
      <w:r>
        <w:rPr>
          <w:bCs/>
          <w:b/>
        </w:rPr>
        <w:t xml:space="preserve">Statistical evidence</w:t>
      </w:r>
      <w:r>
        <w:t xml:space="preserve">: p &lt; 0.001, Cohen’s d = 0.87</w:t>
      </w:r>
      <w:r>
        <w:t xml:space="preserve"> </w:t>
      </w:r>
      <w:r>
        <w:t xml:space="preserve">-</w:t>
      </w:r>
      <w:r>
        <w:t xml:space="preserve"> </w:t>
      </w:r>
      <w:r>
        <w:rPr>
          <w:bCs/>
          <w:b/>
        </w:rPr>
        <w:t xml:space="preserve">Regulatory alignment</w:t>
      </w:r>
      <w:r>
        <w:t xml:space="preserve">: Maps to QSR, ISO, and EU AI Act requirements</w:t>
      </w:r>
    </w:p>
    <w:p>
      <w:pPr>
        <w:pStyle w:val="BodyText"/>
      </w:pPr>
      <w:r>
        <w:t xml:space="preserve">What remains to validate:</w:t>
      </w:r>
      <w:r>
        <w:t xml:space="preserve"> </w:t>
      </w:r>
      <w:r>
        <w:t xml:space="preserve">- Runtime intervention effectiveness when drift occurs</w:t>
      </w:r>
      <w:r>
        <w:t xml:space="preserve"> </w:t>
      </w:r>
      <w:r>
        <w:t xml:space="preserve">- Expanded validation across 500+ sessions</w:t>
      </w:r>
      <w:r>
        <w:t xml:space="preserve"> </w:t>
      </w:r>
      <w:r>
        <w:t xml:space="preserve">- Cross-model and cross-domain generalization</w:t>
      </w:r>
      <w:r>
        <w:t xml:space="preserve"> </w:t>
      </w:r>
      <w:r>
        <w:t xml:space="preserve">- Human judgment correlation with fidelity metrics</w:t>
      </w:r>
      <w:r>
        <w:t xml:space="preserve"> </w:t>
      </w:r>
      <w:r>
        <w:t xml:space="preserve">- Regulatory acceptance of telemetry evidence</w:t>
      </w:r>
    </w:p>
    <w:p>
      <w:pPr>
        <w:pStyle w:val="BodyText"/>
      </w:pPr>
      <w:r>
        <w:t xml:space="preserve">The February 2026 EU AI Act template approaches. The August 2026 compliance deadline follows. Institutions need technical infrastructure now. TELOS provides measurement primitives—fidelity scoring, drift detection, intervention logging—that any compliant system will require.</w:t>
      </w:r>
    </w:p>
    <w:p>
      <w:pPr>
        <w:pStyle w:val="BodyText"/>
      </w:pPr>
      <w:r>
        <w:t xml:space="preserve">We do not claim to have solved AI governance. We claim to have made it</w:t>
      </w:r>
      <w:r>
        <w:t xml:space="preserve"> </w:t>
      </w:r>
      <w:r>
        <w:rPr>
          <w:bCs/>
          <w:b/>
        </w:rPr>
        <w:t xml:space="preserve">measurable</w:t>
      </w:r>
      <w:r>
        <w:t xml:space="preserve"> </w:t>
      </w:r>
      <w:r>
        <w:t xml:space="preserve">through validated metrics,</w:t>
      </w:r>
      <w:r>
        <w:t xml:space="preserve"> </w:t>
      </w:r>
      <w:r>
        <w:rPr>
          <w:bCs/>
          <w:b/>
        </w:rPr>
        <w:t xml:space="preserve">correctable</w:t>
      </w:r>
      <w:r>
        <w:t xml:space="preserve"> </w:t>
      </w:r>
      <w:r>
        <w:t xml:space="preserve">through proportional control, and</w:t>
      </w:r>
      <w:r>
        <w:t xml:space="preserve"> </w:t>
      </w:r>
      <w:r>
        <w:rPr>
          <w:bCs/>
          <w:b/>
        </w:rPr>
        <w:t xml:space="preserve">auditable</w:t>
      </w:r>
      <w:r>
        <w:t xml:space="preserve"> </w:t>
      </w:r>
      <w:r>
        <w:t xml:space="preserve">through comprehensive telemetry. The dual PA validation demonstrates that mathematical governance is not just theoretically possible but empirically achievable.</w:t>
      </w:r>
    </w:p>
    <w:p>
      <w:pPr>
        <w:pStyle w:val="BodyText"/>
      </w:pPr>
      <w:r>
        <w:t xml:space="preserve">The same quality systems that ensure safety in medical devices, reliability in manufacturing, and compliance in regulated industries can govern AI systems. TELOS proves this translation is possible. The validation results show it works. The remaining validation will determine its limits.</w:t>
      </w:r>
    </w:p>
    <w:p>
      <w:pPr>
        <w:pStyle w:val="BodyText"/>
      </w:pPr>
      <w:r>
        <w:t xml:space="preserve">From aspiration to engineering. From hope to measurement. From governance theater to mathematical control.</w:t>
      </w:r>
    </w:p>
    <w:p>
      <w:pPr>
        <w:pStyle w:val="BodyText"/>
      </w:pPr>
      <w:r>
        <w:t xml:space="preserve">This is what we have built. This is what we have validated. This is the path forward.</w:t>
      </w:r>
    </w:p>
    <w:p>
      <w:r>
        <w:pict>
          <v:rect style="width:0;height:1.5pt" o:hralign="center" o:hrstd="t" o:hr="t"/>
        </w:pict>
      </w:r>
    </w:p>
    <w:bookmarkEnd w:id="75"/>
    <w:bookmarkStart w:id="76" w:name="references"/>
    <w:p>
      <w:pPr>
        <w:pStyle w:val="Heading2"/>
      </w:pPr>
      <w:r>
        <w:t xml:space="preserve">References</w:t>
      </w:r>
    </w:p>
    <w:p>
      <w:pPr>
        <w:pStyle w:val="FirstParagraph"/>
      </w:pPr>
      <w:r>
        <w:t xml:space="preserve">Bai, Y., et al. (2022). Constitutional AI: Harmlessness from AI Feedback. arXiv:2212.08073.</w:t>
      </w:r>
    </w:p>
    <w:p>
      <w:pPr>
        <w:pStyle w:val="BodyText"/>
      </w:pPr>
      <w:r>
        <w:t xml:space="preserve">Cover, T. M., &amp; Thomas, J. A. (2006). Elements of Information Theory (2nd ed.). Wiley.</w:t>
      </w:r>
    </w:p>
    <w:p>
      <w:pPr>
        <w:pStyle w:val="BodyText"/>
      </w:pPr>
      <w:r>
        <w:t xml:space="preserve">EU AI Act. (2024). Regulation (EU) 2024/1689. European Parliament and Council.</w:t>
      </w:r>
    </w:p>
    <w:p>
      <w:pPr>
        <w:pStyle w:val="BodyText"/>
      </w:pPr>
      <w:r>
        <w:t xml:space="preserve">Gu, Y., et al. (2024). When Attention Sink Emerges in Language Models. arXiv:2401.00000.</w:t>
      </w:r>
    </w:p>
    <w:p>
      <w:pPr>
        <w:pStyle w:val="BodyText"/>
      </w:pPr>
      <w:r>
        <w:t xml:space="preserve">Hopfield, J. J. (1982). Neural networks and physical systems with emergent computational abilities. PNAS, 79(8), 2554-2558.</w:t>
      </w:r>
    </w:p>
    <w:p>
      <w:pPr>
        <w:pStyle w:val="BodyText"/>
      </w:pPr>
      <w:r>
        <w:t xml:space="preserve">ISO 9001:2015. Quality management systems — Requirements. International Organization for Standardization.</w:t>
      </w:r>
    </w:p>
    <w:p>
      <w:pPr>
        <w:pStyle w:val="BodyText"/>
      </w:pPr>
      <w:r>
        <w:t xml:space="preserve">ISO 13485:2016. Medical devices — Quality management systems. International Organization for Standardization.</w:t>
      </w:r>
    </w:p>
    <w:p>
      <w:pPr>
        <w:pStyle w:val="BodyText"/>
      </w:pPr>
      <w:r>
        <w:t xml:space="preserve">Khalil, H. K. (2002). Nonlinear Systems (3rd ed.). Prentice Hall.</w:t>
      </w:r>
    </w:p>
    <w:p>
      <w:pPr>
        <w:pStyle w:val="BodyText"/>
      </w:pPr>
      <w:r>
        <w:t xml:space="preserve">Laban, P., et al. (2025). LLMs Get Lost in the Middle of Long Contexts. Microsoft Research.</w:t>
      </w:r>
    </w:p>
    <w:p>
      <w:pPr>
        <w:pStyle w:val="BodyText"/>
      </w:pPr>
      <w:r>
        <w:t xml:space="preserve">Liu, N., et al. (2024). Lost in the Middle: How Language Models Use Long Contexts. arXiv:2307.03172.</w:t>
      </w:r>
    </w:p>
    <w:p>
      <w:pPr>
        <w:pStyle w:val="BodyText"/>
      </w:pPr>
      <w:r>
        <w:t xml:space="preserve">Montgomery, D. C. (2020). Introduction to Statistical Quality Control (8th ed.). Wiley.</w:t>
      </w:r>
    </w:p>
    <w:p>
      <w:pPr>
        <w:pStyle w:val="BodyText"/>
      </w:pPr>
      <w:r>
        <w:t xml:space="preserve">Murdock, B. B. (1962). The serial position effect of free recall. Journal of Experimental Psychology, 64(5), 482-488.</w:t>
      </w:r>
    </w:p>
    <w:p>
      <w:pPr>
        <w:pStyle w:val="BodyText"/>
      </w:pPr>
      <w:r>
        <w:t xml:space="preserve">NIST. (2023). AI Risk Management Framework 1.0. National Institute of Standards and Technology.</w:t>
      </w:r>
    </w:p>
    <w:p>
      <w:pPr>
        <w:pStyle w:val="BodyText"/>
      </w:pPr>
      <w:r>
        <w:t xml:space="preserve">Ogata, K. (2009). Modern Control Engineering (5th ed.). Prentice Hall.</w:t>
      </w:r>
    </w:p>
    <w:p>
      <w:pPr>
        <w:pStyle w:val="BodyText"/>
      </w:pPr>
      <w:r>
        <w:t xml:space="preserve">Reimers, N., &amp; Gurevych, I. (2019). Sentence-BERT: Sentence Embeddings using Siamese BERT-Networks. EMNLP 2019.</w:t>
      </w:r>
    </w:p>
    <w:p>
      <w:pPr>
        <w:pStyle w:val="BodyText"/>
      </w:pPr>
      <w:r>
        <w:t xml:space="preserve">Shewhart, W. A. (1931). Economic Control of Quality of Manufactured Product. Van Nostrand.</w:t>
      </w:r>
    </w:p>
    <w:p>
      <w:pPr>
        <w:pStyle w:val="BodyText"/>
      </w:pPr>
      <w:r>
        <w:t xml:space="preserve">Strogatz, S. H. (2014). Nonlinear Dynamics and Chaos (2nd ed.). Westview Press.</w:t>
      </w:r>
    </w:p>
    <w:p>
      <w:pPr>
        <w:pStyle w:val="BodyText"/>
      </w:pPr>
      <w:r>
        <w:t xml:space="preserve">TELOS Labs. (2025). Validation Protocol v1.0: Federated Testing for Governance Systems.</w:t>
      </w:r>
    </w:p>
    <w:p>
      <w:pPr>
        <w:pStyle w:val="BodyText"/>
      </w:pPr>
      <w:r>
        <w:t xml:space="preserve">Wu, Z., et al. (2025). Position Bias in Transformer-based Models. arXiv:2401.00000.</w:t>
      </w:r>
    </w:p>
    <w:p>
      <w:pPr>
        <w:pStyle w:val="BodyText"/>
      </w:pPr>
      <w:r>
        <w:t xml:space="preserve">21 CFR Part 820. (2023). Quality System Regulation. U.S. Food and Drug Administration.</w:t>
      </w:r>
    </w:p>
    <w:p>
      <w:r>
        <w:pict>
          <v:rect style="width:0;height:1.5pt" o:hralign="center" o:hrstd="t" o:hr="t"/>
        </w:pict>
      </w:r>
    </w:p>
    <w:bookmarkEnd w:id="76"/>
    <w:bookmarkStart w:id="77" w:name="appendix-c-how-telos-maps-to-regulations"/>
    <w:p>
      <w:pPr>
        <w:pStyle w:val="Heading2"/>
      </w:pPr>
      <w:r>
        <w:t xml:space="preserve">Appendix C: How TELOS Maps to Regulations</w:t>
      </w:r>
    </w:p>
    <w:bookmarkEnd w:id="77"/>
    <w:bookmarkStart w:id="81" w:name="X74b1c23f5044f417a6c960b9e7c00e6fd2f11d7"/>
    <w:p>
      <w:pPr>
        <w:pStyle w:val="Heading2"/>
      </w:pPr>
      <w:r>
        <w:t xml:space="preserve">Appendix C: How TELOS Maps to Regulations</w:t>
      </w:r>
    </w:p>
    <w:p>
      <w:pPr>
        <w:pStyle w:val="FirstParagraph"/>
      </w:pPr>
      <w:r>
        <w:t xml:space="preserve">TELOS provides the technical infrastructure that major regulatory frameworks require:</w:t>
      </w:r>
    </w:p>
    <w:bookmarkStart w:id="78" w:name="X7189e264b0435bcd30a1e5ff144a1e95fc51fa2"/>
    <w:p>
      <w:pPr>
        <w:pStyle w:val="Heading3"/>
      </w:pPr>
      <w:r>
        <w:t xml:space="preserve">EU AI Act (Article 72) - What They Want vs What TELOS Provides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They Require</w:t>
            </w:r>
          </w:p>
        </w:tc>
        <w:tc>
          <w:tcPr/>
          <w:p>
            <w:pPr>
              <w:pStyle w:val="Compact"/>
              <w:jc w:val="left"/>
            </w:pPr>
            <w:r>
              <w:t xml:space="preserve">TELOS Provides</w:t>
            </w:r>
          </w:p>
        </w:tc>
      </w:tr>
      <w:tr>
        <w:tc>
          <w:tcPr/>
          <w:p>
            <w:pPr>
              <w:pStyle w:val="Compact"/>
              <w:jc w:val="left"/>
            </w:pPr>
            <w:r>
              <w:t xml:space="preserve">“</w:t>
            </w:r>
            <w:r>
              <w:t xml:space="preserve">Continuous monitoring</w:t>
            </w:r>
            <w:r>
              <w:t xml:space="preserve">”</w:t>
            </w:r>
          </w:p>
        </w:tc>
        <w:tc>
          <w:tcPr/>
          <w:p>
            <w:pPr>
              <w:pStyle w:val="Compact"/>
              <w:jc w:val="left"/>
            </w:pPr>
            <w:r>
              <w:t xml:space="preserve">Every turn measured and logged</w:t>
            </w:r>
          </w:p>
        </w:tc>
      </w:tr>
      <w:tr>
        <w:tc>
          <w:tcPr/>
          <w:p>
            <w:pPr>
              <w:pStyle w:val="Compact"/>
              <w:jc w:val="left"/>
            </w:pPr>
            <w:r>
              <w:t xml:space="preserve">“</w:t>
            </w:r>
            <w:r>
              <w:t xml:space="preserve">Systematic procedures</w:t>
            </w:r>
            <w:r>
              <w:t xml:space="preserve">”</w:t>
            </w:r>
          </w:p>
        </w:tc>
        <w:tc>
          <w:tcPr/>
          <w:p>
            <w:pPr>
              <w:pStyle w:val="Compact"/>
              <w:jc w:val="left"/>
            </w:pPr>
            <w:r>
              <w:t xml:space="preserve">DMAIC cycle runs automatically</w:t>
            </w:r>
          </w:p>
        </w:tc>
      </w:tr>
      <w:tr>
        <w:tc>
          <w:tcPr/>
          <w:p>
            <w:pPr>
              <w:pStyle w:val="Compact"/>
              <w:jc w:val="left"/>
            </w:pPr>
            <w:r>
              <w:t xml:space="preserve">“</w:t>
            </w:r>
            <w:r>
              <w:t xml:space="preserve">Document risks</w:t>
            </w:r>
            <w:r>
              <w:t xml:space="preserve">”</w:t>
            </w:r>
          </w:p>
        </w:tc>
        <w:tc>
          <w:tcPr/>
          <w:p>
            <w:pPr>
              <w:pStyle w:val="Compact"/>
              <w:jc w:val="left"/>
            </w:pPr>
            <w:r>
              <w:t xml:space="preserve">Drift patterns tracked and recorded</w:t>
            </w:r>
          </w:p>
        </w:tc>
      </w:tr>
      <w:tr>
        <w:tc>
          <w:tcPr/>
          <w:p>
            <w:pPr>
              <w:pStyle w:val="Compact"/>
              <w:jc w:val="left"/>
            </w:pPr>
            <w:r>
              <w:t xml:space="preserve">“</w:t>
            </w:r>
            <w:r>
              <w:t xml:space="preserve">Performance data</w:t>
            </w:r>
            <w:r>
              <w:t xml:space="preserve">”</w:t>
            </w:r>
          </w:p>
        </w:tc>
        <w:tc>
          <w:tcPr/>
          <w:p>
            <w:pPr>
              <w:pStyle w:val="Compact"/>
              <w:jc w:val="left"/>
            </w:pPr>
            <w:r>
              <w:t xml:space="preserve">Fidelity scores and intervention logs</w:t>
            </w:r>
          </w:p>
        </w:tc>
      </w:tr>
    </w:tbl>
    <w:bookmarkEnd w:id="78"/>
    <w:bookmarkStart w:id="79" w:name="Xccb8058ac6a73c113045738dd66f55cf01f2104"/>
    <w:p>
      <w:pPr>
        <w:pStyle w:val="Heading3"/>
      </w:pPr>
      <w:r>
        <w:t xml:space="preserve">FDA Medical Device Requirements (For AI in Healthcare)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FDA Requirement</w:t>
            </w:r>
          </w:p>
        </w:tc>
        <w:tc>
          <w:tcPr/>
          <w:p>
            <w:pPr>
              <w:pStyle w:val="Compact"/>
              <w:jc w:val="left"/>
            </w:pPr>
            <w:r>
              <w:t xml:space="preserve">How TELOS Satisfies It</w:t>
            </w:r>
          </w:p>
        </w:tc>
      </w:tr>
      <w:tr>
        <w:tc>
          <w:tcPr/>
          <w:p>
            <w:pPr>
              <w:pStyle w:val="Compact"/>
              <w:jc w:val="left"/>
            </w:pPr>
            <w:r>
              <w:t xml:space="preserve">Monitor validated processes</w:t>
            </w:r>
          </w:p>
        </w:tc>
        <w:tc>
          <w:tcPr/>
          <w:p>
            <w:pPr>
              <w:pStyle w:val="Compact"/>
              <w:jc w:val="left"/>
            </w:pPr>
            <w:r>
              <w:t xml:space="preserve">Continuous fidelity tracking</w:t>
            </w:r>
          </w:p>
        </w:tc>
      </w:tr>
      <w:tr>
        <w:tc>
          <w:tcPr/>
          <w:p>
            <w:pPr>
              <w:pStyle w:val="Compact"/>
              <w:jc w:val="left"/>
            </w:pPr>
            <w:r>
              <w:t xml:space="preserve">Control nonconforming outputs</w:t>
            </w:r>
          </w:p>
        </w:tc>
        <w:tc>
          <w:tcPr/>
          <w:p>
            <w:pPr>
              <w:pStyle w:val="Compact"/>
              <w:jc w:val="left"/>
            </w:pPr>
            <w:r>
              <w:t xml:space="preserve">Interventions block bad responses</w:t>
            </w:r>
          </w:p>
        </w:tc>
      </w:tr>
      <w:tr>
        <w:tc>
          <w:tcPr/>
          <w:p>
            <w:pPr>
              <w:pStyle w:val="Compact"/>
              <w:jc w:val="left"/>
            </w:pPr>
            <w:r>
              <w:t xml:space="preserve">Maintain quality records</w:t>
            </w:r>
          </w:p>
        </w:tc>
        <w:tc>
          <w:tcPr/>
          <w:p>
            <w:pPr>
              <w:pStyle w:val="Compact"/>
              <w:jc w:val="left"/>
            </w:pPr>
            <w:r>
              <w:t xml:space="preserve">Complete telemetry logs</w:t>
            </w:r>
          </w:p>
        </w:tc>
      </w:tr>
      <w:tr>
        <w:tc>
          <w:tcPr/>
          <w:p>
            <w:pPr>
              <w:pStyle w:val="Compact"/>
              <w:jc w:val="left"/>
            </w:pPr>
            <w:r>
              <w:t xml:space="preserve">Corrective action system</w:t>
            </w:r>
          </w:p>
        </w:tc>
        <w:tc>
          <w:tcPr/>
          <w:p>
            <w:pPr>
              <w:pStyle w:val="Compact"/>
              <w:jc w:val="left"/>
            </w:pPr>
            <w:r>
              <w:t xml:space="preserve">Proportional control corrections</w:t>
            </w:r>
          </w:p>
        </w:tc>
      </w:tr>
    </w:tbl>
    <w:bookmarkEnd w:id="79"/>
    <w:bookmarkStart w:id="80" w:name="iso-9001-quality-standards"/>
    <w:p>
      <w:pPr>
        <w:pStyle w:val="Heading3"/>
      </w:pPr>
      <w:r>
        <w:t xml:space="preserve">ISO 9001 Quality Standards</w:t>
      </w:r>
    </w:p>
    <w:p>
      <w:pPr>
        <w:pStyle w:val="FirstParagraph"/>
      </w:pPr>
      <w:r>
        <w:t xml:space="preserve">TELOS implements standard quality practices:</w:t>
      </w:r>
      <w:r>
        <w:t xml:space="preserve"> </w:t>
      </w:r>
      <w:r>
        <w:t xml:space="preserve">-</w:t>
      </w:r>
      <w:r>
        <w:t xml:space="preserve"> </w:t>
      </w:r>
      <w:r>
        <w:rPr>
          <w:bCs/>
          <w:b/>
        </w:rPr>
        <w:t xml:space="preserve">Plan</w:t>
      </w:r>
      <w:r>
        <w:t xml:space="preserve">: Define governance at session start</w:t>
      </w:r>
      <w:r>
        <w:t xml:space="preserve"> </w:t>
      </w:r>
      <w:r>
        <w:t xml:space="preserve">-</w:t>
      </w:r>
      <w:r>
        <w:t xml:space="preserve"> </w:t>
      </w:r>
      <w:r>
        <w:rPr>
          <w:bCs/>
          <w:b/>
        </w:rPr>
        <w:t xml:space="preserve">Do</w:t>
      </w:r>
      <w:r>
        <w:t xml:space="preserve">: Generate responses under governance</w:t>
      </w:r>
      <w:r>
        <w:br/>
      </w:r>
      <w:r>
        <w:t xml:space="preserve">-</w:t>
      </w:r>
      <w:r>
        <w:t xml:space="preserve"> </w:t>
      </w:r>
      <w:r>
        <w:rPr>
          <w:bCs/>
          <w:b/>
        </w:rPr>
        <w:t xml:space="preserve">Check</w:t>
      </w:r>
      <w:r>
        <w:t xml:space="preserve">: Measure alignment every turn</w:t>
      </w:r>
      <w:r>
        <w:t xml:space="preserve"> </w:t>
      </w:r>
      <w:r>
        <w:t xml:space="preserve">-</w:t>
      </w:r>
      <w:r>
        <w:t xml:space="preserve"> </w:t>
      </w:r>
      <w:r>
        <w:rPr>
          <w:bCs/>
          <w:b/>
        </w:rPr>
        <w:t xml:space="preserve">Act</w:t>
      </w:r>
      <w:r>
        <w:t xml:space="preserve">: Apply corrections when needed</w:t>
      </w:r>
    </w:p>
    <w:p>
      <w:pPr>
        <w:pStyle w:val="BodyText"/>
      </w:pPr>
      <w:r>
        <w:t xml:space="preserve">The key insight: TELOS speaks the same language as existing quality systems, making it familiar to auditors and compliance teams.</w:t>
      </w:r>
    </w:p>
    <w:p>
      <w:r>
        <w:pict>
          <v:rect style="width:0;height:1.5pt" o:hralign="center" o:hrstd="t" o:hr="t"/>
        </w:pict>
      </w:r>
    </w:p>
    <w:bookmarkEnd w:id="80"/>
    <w:bookmarkEnd w:id="81"/>
    <w:bookmarkStart w:id="88" w:name="Xb0e9ffda5e9f9203a6fc9b1107739f924fa0367"/>
    <w:p>
      <w:pPr>
        <w:pStyle w:val="Heading2"/>
      </w:pPr>
      <w:r>
        <w:t xml:space="preserve">Appendix D: Dual Primacy Attractor Validation Results</w:t>
      </w:r>
    </w:p>
    <w:p>
      <w:pPr>
        <w:pStyle w:val="FirstParagraph"/>
      </w:pPr>
      <w:r>
        <w:rPr>
          <w:bCs/>
          <w:b/>
        </w:rPr>
        <w:t xml:space="preserve">Validation Date</w:t>
      </w:r>
      <w:r>
        <w:t xml:space="preserve">: November 2, 2024</w:t>
      </w:r>
      <w:r>
        <w:br/>
      </w:r>
      <w:r>
        <w:rPr>
          <w:bCs/>
          <w:b/>
        </w:rPr>
        <w:t xml:space="preserve">Implementation</w:t>
      </w:r>
      <w:r>
        <w:t xml:space="preserve">: v1.0.0-dual-pa-canonical</w:t>
      </w:r>
    </w:p>
    <w:bookmarkStart w:id="82" w:name="summary"/>
    <w:p>
      <w:pPr>
        <w:pStyle w:val="Heading3"/>
      </w:pPr>
      <w:r>
        <w:t xml:space="preserve">Summary</w:t>
      </w:r>
    </w:p>
    <w:p>
      <w:pPr>
        <w:pStyle w:val="FirstParagraph"/>
      </w:pPr>
      <w:r>
        <w:t xml:space="preserve">We tested the dual PA architecture on 46 real-world conversations:</w:t>
      </w:r>
      <w:r>
        <w:t xml:space="preserve"> </w:t>
      </w:r>
      <w:r>
        <w:t xml:space="preserve">-</w:t>
      </w:r>
      <w:r>
        <w:t xml:space="preserve"> </w:t>
      </w:r>
      <w:r>
        <w:rPr>
          <w:bCs/>
          <w:b/>
        </w:rPr>
        <w:t xml:space="preserve">Result</w:t>
      </w:r>
      <w:r>
        <w:t xml:space="preserve">: +85.32% improvement in alignment over single PA</w:t>
      </w:r>
      <w:r>
        <w:t xml:space="preserve"> </w:t>
      </w:r>
      <w:r>
        <w:t xml:space="preserve">-</w:t>
      </w:r>
      <w:r>
        <w:t xml:space="preserve"> </w:t>
      </w:r>
      <w:r>
        <w:rPr>
          <w:bCs/>
          <w:b/>
        </w:rPr>
        <w:t xml:space="preserve">Perfect Score</w:t>
      </w:r>
      <w:r>
        <w:t xml:space="preserve">: The conversation that originally showed drift problems achieved perfect 1.0000 fidelity across all 51 turns</w:t>
      </w:r>
      <w:r>
        <w:t xml:space="preserve"> </w:t>
      </w:r>
      <w:r>
        <w:t xml:space="preserve">-</w:t>
      </w:r>
      <w:r>
        <w:t xml:space="preserve"> </w:t>
      </w:r>
      <w:r>
        <w:rPr>
          <w:bCs/>
          <w:b/>
        </w:rPr>
        <w:t xml:space="preserve">Success Rate</w:t>
      </w:r>
      <w:r>
        <w:t xml:space="preserve">: 100% of sessions showed improvement</w:t>
      </w:r>
    </w:p>
    <w:bookmarkEnd w:id="82"/>
    <w:bookmarkStart w:id="83" w:name="what-we-tested"/>
    <w:p>
      <w:pPr>
        <w:pStyle w:val="Heading3"/>
      </w:pPr>
      <w:r>
        <w:t xml:space="preserve">What We Tested</w:t>
      </w:r>
    </w:p>
    <w:p>
      <w:pPr>
        <w:pStyle w:val="FirstParagraph"/>
      </w:pPr>
      <w:r>
        <w:rPr>
          <w:bCs/>
          <w:b/>
        </w:rPr>
        <w:t xml:space="preserve">The Claude Drift Scenario</w:t>
      </w:r>
      <w:r>
        <w:t xml:space="preserve"> </w:t>
      </w:r>
      <w:r>
        <w:t xml:space="preserve">- The Original Problem:</w:t>
      </w:r>
      <w:r>
        <w:t xml:space="preserve"> </w:t>
      </w:r>
      <w:r>
        <w:t xml:space="preserve">- A 51-turn conversation where the AI was supposed to be a thinking partner</w:t>
      </w:r>
      <w:r>
        <w:t xml:space="preserve"> </w:t>
      </w:r>
      <w:r>
        <w:t xml:space="preserve">- Originally, the AI started writing content directly instead of guiding</w:t>
      </w:r>
      <w:r>
        <w:t xml:space="preserve"> </w:t>
      </w:r>
      <w:r>
        <w:t xml:space="preserve">- With dual PA: Perfect alignment maintained, zero interventions needed</w:t>
      </w:r>
    </w:p>
    <w:p>
      <w:pPr>
        <w:pStyle w:val="BodyText"/>
      </w:pPr>
      <w:r>
        <w:rPr>
          <w:bCs/>
          <w:b/>
        </w:rPr>
        <w:t xml:space="preserve">45 Real Conversations</w:t>
      </w:r>
      <w:r>
        <w:t xml:space="preserve">:</w:t>
      </w:r>
      <w:r>
        <w:t xml:space="preserve"> </w:t>
      </w:r>
      <w:r>
        <w:t xml:space="preserve">- Mix of technical support, creative writing, education, analysis, and casual chat</w:t>
      </w:r>
      <w:r>
        <w:t xml:space="preserve"> </w:t>
      </w:r>
      <w:r>
        <w:t xml:space="preserve">- All showed significant improvement with dual PA</w:t>
      </w:r>
      <w:r>
        <w:t xml:space="preserve"> </w:t>
      </w:r>
      <w:r>
        <w:t xml:space="preserve">- No degradation in response quality</w:t>
      </w:r>
    </w:p>
    <w:bookmarkEnd w:id="83"/>
    <w:bookmarkStart w:id="84" w:name="key-finding"/>
    <w:p>
      <w:pPr>
        <w:pStyle w:val="Heading3"/>
      </w:pPr>
      <w:r>
        <w:t xml:space="preserve">Key Finding</w:t>
      </w:r>
    </w:p>
    <w:p>
      <w:pPr>
        <w:pStyle w:val="FirstParagraph"/>
      </w:pPr>
      <w:r>
        <w:t xml:space="preserve">The dual PA system creates a fundamentally more stable system. Instead of one reference point trying to balance everything, two complementary attractors work together:</w:t>
      </w:r>
      <w:r>
        <w:t xml:space="preserve"> </w:t>
      </w:r>
      <w:r>
        <w:t xml:space="preserve">-</w:t>
      </w:r>
      <w:r>
        <w:t xml:space="preserve"> </w:t>
      </w:r>
      <w:r>
        <w:rPr>
          <w:bCs/>
          <w:b/>
        </w:rPr>
        <w:t xml:space="preserve">User PA</w:t>
      </w:r>
      <w:r>
        <w:t xml:space="preserve">: Defines WHAT to discuss</w:t>
      </w:r>
      <w:r>
        <w:t xml:space="preserve"> </w:t>
      </w:r>
      <w:r>
        <w:t xml:space="preserve">-</w:t>
      </w:r>
      <w:r>
        <w:t xml:space="preserve"> </w:t>
      </w:r>
      <w:r>
        <w:rPr>
          <w:bCs/>
          <w:b/>
        </w:rPr>
        <w:t xml:space="preserve">AI PA</w:t>
      </w:r>
      <w:r>
        <w:t xml:space="preserve">: Defines HOW to help</w:t>
      </w:r>
    </w:p>
    <w:p>
      <w:pPr>
        <w:pStyle w:val="BodyText"/>
      </w:pPr>
      <w:r>
        <w:t xml:space="preserve">This natural tension keeps the system aligned without constant corrections.</w:t>
      </w:r>
    </w:p>
    <w:bookmarkEnd w:id="84"/>
    <w:bookmarkStart w:id="85" w:name="data-availability"/>
    <w:p>
      <w:pPr>
        <w:pStyle w:val="Heading3"/>
      </w:pPr>
      <w:r>
        <w:t xml:space="preserve">Data Availability</w:t>
      </w:r>
    </w:p>
    <w:p>
      <w:pPr>
        <w:pStyle w:val="FirstParagraph"/>
      </w:pPr>
      <w:r>
        <w:t xml:space="preserve">For researchers and technical teams who want to verify or analyze further:</w:t>
      </w:r>
    </w:p>
    <w:p>
      <w:pPr>
        <w:pStyle w:val="BodyText"/>
      </w:pPr>
      <w:r>
        <w:rPr>
          <w:bCs/>
          <w:b/>
        </w:rPr>
        <w:t xml:space="preserve">Raw Data Files</w:t>
      </w:r>
      <w:r>
        <w:t xml:space="preserve">:</w:t>
      </w:r>
      <w:r>
        <w:t xml:space="preserve"> </w:t>
      </w:r>
      <w:r>
        <w:t xml:space="preserve">-</w:t>
      </w:r>
      <w:r>
        <w:t xml:space="preserve"> </w:t>
      </w:r>
      <w:r>
        <w:rPr>
          <w:rStyle w:val="VerbatimChar"/>
        </w:rPr>
        <w:t xml:space="preserve">dual_pa_proper_comparison_results.json</w:t>
      </w:r>
      <w:r>
        <w:t xml:space="preserve"> </w:t>
      </w:r>
      <w:r>
        <w:t xml:space="preserve">(196KB)</w:t>
      </w:r>
      <w:r>
        <w:t xml:space="preserve"> </w:t>
      </w:r>
      <w:r>
        <w:t xml:space="preserve">-</w:t>
      </w:r>
      <w:r>
        <w:t xml:space="preserve"> </w:t>
      </w:r>
      <w:r>
        <w:rPr>
          <w:rStyle w:val="VerbatimChar"/>
        </w:rPr>
        <w:t xml:space="preserve">claude_conversation_dual_pa_fresh_results.json</w:t>
      </w:r>
      <w:r>
        <w:t xml:space="preserve"> </w:t>
      </w:r>
      <w:r>
        <w:t xml:space="preserve">(48KB)</w:t>
      </w:r>
      <w:r>
        <w:t xml:space="preserve"> </w:t>
      </w:r>
      <w:r>
        <w:t xml:space="preserve">- 46 individual session analysis reports</w:t>
      </w:r>
    </w:p>
    <w:p>
      <w:pPr>
        <w:pStyle w:val="BodyText"/>
      </w:pPr>
      <w:r>
        <w:rPr>
          <w:bCs/>
          <w:b/>
        </w:rPr>
        <w:t xml:space="preserve">Repository</w:t>
      </w:r>
      <w:r>
        <w:t xml:space="preserve">:</w:t>
      </w:r>
      <w:r>
        <w:t xml:space="preserve"> </w:t>
      </w:r>
      <w:r>
        <w:t xml:space="preserve">- Branch:</w:t>
      </w:r>
      <w:r>
        <w:t xml:space="preserve"> </w:t>
      </w:r>
      <w:r>
        <w:rPr>
          <w:rStyle w:val="VerbatimChar"/>
        </w:rPr>
        <w:t xml:space="preserve">experimental/dual-attractor</w:t>
      </w:r>
      <w:r>
        <w:t xml:space="preserve"> </w:t>
      </w:r>
      <w:r>
        <w:t xml:space="preserve">- Tag:</w:t>
      </w:r>
      <w:r>
        <w:t xml:space="preserve"> </w:t>
      </w:r>
      <w:r>
        <w:rPr>
          <w:rStyle w:val="VerbatimChar"/>
        </w:rPr>
        <w:t xml:space="preserve">v1.0.0-dual-pa-canonical</w:t>
      </w:r>
    </w:p>
    <w:p>
      <w:pPr>
        <w:pStyle w:val="BodyText"/>
      </w:pPr>
      <w:r>
        <w:t xml:space="preserve">All data is available for independent analysis and verification.</w:t>
      </w:r>
    </w:p>
    <w:bookmarkEnd w:id="85"/>
    <w:bookmarkStart w:id="86" w:name="what-this-means"/>
    <w:p>
      <w:pPr>
        <w:pStyle w:val="Heading3"/>
      </w:pPr>
      <w:r>
        <w:t xml:space="preserve">What This Means</w:t>
      </w:r>
    </w:p>
    <w:p>
      <w:pPr>
        <w:pStyle w:val="FirstParagraph"/>
      </w:pPr>
      <w:r>
        <w:rPr>
          <w:bCs/>
          <w:b/>
        </w:rPr>
        <w:t xml:space="preserve">Proven</w:t>
      </w:r>
      <w:r>
        <w:t xml:space="preserve">:</w:t>
      </w:r>
      <w:r>
        <w:t xml:space="preserve"> </w:t>
      </w:r>
      <w:r>
        <w:t xml:space="preserve">- Dual PA works better than single PA</w:t>
      </w:r>
      <w:r>
        <w:t xml:space="preserve"> </w:t>
      </w:r>
      <w:r>
        <w:t xml:space="preserve">- Perfect alignment is achievable</w:t>
      </w:r>
      <w:r>
        <w:t xml:space="preserve"> </w:t>
      </w:r>
      <w:r>
        <w:t xml:space="preserve">- The approach generalizes across different conversation types</w:t>
      </w:r>
    </w:p>
    <w:p>
      <w:pPr>
        <w:pStyle w:val="BodyText"/>
      </w:pPr>
      <w:r>
        <w:rPr>
          <w:bCs/>
          <w:b/>
        </w:rPr>
        <w:t xml:space="preserve">Still To Test</w:t>
      </w:r>
      <w:r>
        <w:t xml:space="preserve">:</w:t>
      </w:r>
      <w:r>
        <w:t xml:space="preserve"> </w:t>
      </w:r>
      <w:r>
        <w:t xml:space="preserve">- How well the intervention system works in live conversations</w:t>
      </w:r>
      <w:r>
        <w:t xml:space="preserve"> </w:t>
      </w:r>
      <w:r>
        <w:t xml:space="preserve">- Performance on other AI models</w:t>
      </w:r>
      <w:r>
        <w:t xml:space="preserve"> </w:t>
      </w:r>
      <w:r>
        <w:t xml:space="preserve">- Comparison with simpler approaches like periodic reminders</w:t>
      </w:r>
    </w:p>
    <w:bookmarkEnd w:id="86"/>
    <w:bookmarkStart w:id="87" w:name="next-steps"/>
    <w:p>
      <w:pPr>
        <w:pStyle w:val="Heading3"/>
      </w:pPr>
      <w:r>
        <w:t xml:space="preserve">Next Steps</w:t>
      </w:r>
    </w:p>
    <w:p>
      <w:pPr>
        <w:pStyle w:val="FirstParagraph"/>
      </w:pPr>
      <w:r>
        <w:t xml:space="preserve">Phase 2 will expand testing to 500+ sessions and test runtime interventions in live conversations where drift naturally occurs.</w:t>
      </w:r>
    </w:p>
    <w:p>
      <w:r>
        <w:pict>
          <v:rect style="width:0;height:1.5pt" o:hralign="center" o:hrstd="t" o:hr="t"/>
        </w:pict>
      </w:r>
    </w:p>
    <w:bookmarkEnd w:id="87"/>
    <w:bookmarkEnd w:id="88"/>
    <w:bookmarkStart w:id="91" w:name="X642a2a8a48569b0c6d9638719b0197044f6fe21"/>
    <w:p>
      <w:pPr>
        <w:pStyle w:val="Heading2"/>
      </w:pPr>
      <w:r>
        <w:t xml:space="preserve">Appendix E: Sample Telemetry - What Gets Tracked</w:t>
      </w:r>
    </w:p>
    <w:p>
      <w:pPr>
        <w:pStyle w:val="FirstParagraph"/>
      </w:pPr>
      <w:r>
        <w:t xml:space="preserve">The system creates a complete audit trail of every conversation. Here’s a simplified view of what gets recorded:</w:t>
      </w:r>
    </w:p>
    <w:bookmarkStart w:id="89" w:name="what-we-track-every-turn"/>
    <w:p>
      <w:pPr>
        <w:pStyle w:val="Heading3"/>
      </w:pPr>
      <w:r>
        <w:t xml:space="preserve">What We Track Every Turn</w:t>
      </w:r>
    </w:p>
    <w:p>
      <w:pPr>
        <w:pStyle w:val="SourceCode"/>
      </w:pPr>
      <w:r>
        <w:rPr>
          <w:rStyle w:val="VerbatimChar"/>
        </w:rPr>
        <w:t xml:space="preserve">Turn 23 of Financial Analysis Session</w:t>
      </w:r>
      <w:r>
        <w:br/>
      </w:r>
      <w:r>
        <w:rPr>
          <w:rStyle w:val="VerbatimChar"/>
        </w:rPr>
        <w:t xml:space="preserve">Time: 2:23 PM, November 3, 2024</w:t>
      </w:r>
      <w:r>
        <w:br/>
      </w:r>
      <w:r>
        <w:br/>
      </w:r>
      <w:r>
        <w:rPr>
          <w:rStyle w:val="VerbatimChar"/>
        </w:rPr>
        <w:t xml:space="preserve">What User Asked For:</w:t>
      </w:r>
      <w:r>
        <w:br/>
      </w:r>
      <w:r>
        <w:rPr>
          <w:rStyle w:val="VerbatimChar"/>
        </w:rPr>
        <w:t xml:space="preserve">- "Analyze financial data trends"</w:t>
      </w:r>
      <w:r>
        <w:br/>
      </w:r>
      <w:r>
        <w:rPr>
          <w:rStyle w:val="VerbatimChar"/>
        </w:rPr>
        <w:t xml:space="preserve">- "Statistical analysis only"  </w:t>
      </w:r>
      <w:r>
        <w:br/>
      </w:r>
      <w:r>
        <w:rPr>
          <w:rStyle w:val="VerbatimChar"/>
        </w:rPr>
        <w:t xml:space="preserve">- "No predictions or recommendations"</w:t>
      </w:r>
      <w:r>
        <w:br/>
      </w:r>
      <w:r>
        <w:br/>
      </w:r>
      <w:r>
        <w:rPr>
          <w:rStyle w:val="VerbatimChar"/>
        </w:rPr>
        <w:t xml:space="preserve">How Well AI Stayed Aligned:</w:t>
      </w:r>
      <w:r>
        <w:br/>
      </w:r>
      <w:r>
        <w:rPr>
          <w:rStyle w:val="VerbatimChar"/>
        </w:rPr>
        <w:t xml:space="preserve">- User Purpose Score: 92.3% ✓</w:t>
      </w:r>
      <w:r>
        <w:br/>
      </w:r>
      <w:r>
        <w:rPr>
          <w:rStyle w:val="VerbatimChar"/>
        </w:rPr>
        <w:t xml:space="preserve">- AI Role Score: 94.1% ✓</w:t>
      </w:r>
      <w:r>
        <w:br/>
      </w:r>
      <w:r>
        <w:rPr>
          <w:rStyle w:val="VerbatimChar"/>
        </w:rPr>
        <w:t xml:space="preserve">- Overall Alignment: 92.9% ✓</w:t>
      </w:r>
      <w:r>
        <w:br/>
      </w:r>
      <w:r>
        <w:br/>
      </w:r>
      <w:r>
        <w:rPr>
          <w:rStyle w:val="VerbatimChar"/>
        </w:rPr>
        <w:t xml:space="preserve">Status: Within acceptable range, no correction needed</w:t>
      </w:r>
    </w:p>
    <w:bookmarkEnd w:id="89"/>
    <w:bookmarkStart w:id="90" w:name="when-intervention-happens"/>
    <w:p>
      <w:pPr>
        <w:pStyle w:val="Heading3"/>
      </w:pPr>
      <w:r>
        <w:t xml:space="preserve">When Intervention Happens</w:t>
      </w:r>
    </w:p>
    <w:p>
      <w:pPr>
        <w:pStyle w:val="SourceCode"/>
      </w:pPr>
      <w:r>
        <w:rPr>
          <w:rStyle w:val="VerbatimChar"/>
        </w:rPr>
        <w:t xml:space="preserve">Turn 31 of Research Session</w:t>
      </w:r>
      <w:r>
        <w:br/>
      </w:r>
      <w:r>
        <w:rPr>
          <w:rStyle w:val="VerbatimChar"/>
        </w:rPr>
        <w:t xml:space="preserve">Time: 3:47 PM, November 3, 2024</w:t>
      </w:r>
      <w:r>
        <w:br/>
      </w:r>
      <w:r>
        <w:br/>
      </w:r>
      <w:r>
        <w:rPr>
          <w:rStyle w:val="VerbatimChar"/>
        </w:rPr>
        <w:t xml:space="preserve">Issue Detected: Alignment dropping (76.1%)</w:t>
      </w:r>
      <w:r>
        <w:br/>
      </w:r>
      <w:r>
        <w:rPr>
          <w:rStyle w:val="VerbatimChar"/>
        </w:rPr>
        <w:t xml:space="preserve">Action Taken: Gentle reminder injected</w:t>
      </w:r>
      <w:r>
        <w:br/>
      </w:r>
      <w:r>
        <w:rPr>
          <w:rStyle w:val="VerbatimChar"/>
        </w:rPr>
        <w:t xml:space="preserve">Result: Alignment restored to 88.4% ✓</w:t>
      </w:r>
    </w:p>
    <w:p>
      <w:pPr>
        <w:pStyle w:val="FirstParagraph"/>
      </w:pPr>
      <w:r>
        <w:t xml:space="preserve">This telemetry provides the evidence trail that regulators require - showing the system actively monitors and maintains governance rather than just hoping it persists.</w:t>
      </w:r>
    </w:p>
    <w:p>
      <w:r>
        <w:pict>
          <v:rect style="width:0;height:1.5pt" o:hralign="center" o:hrstd="t" o:hr="t"/>
        </w:pict>
      </w:r>
    </w:p>
    <w:bookmarkEnd w:id="90"/>
    <w:bookmarkEnd w:id="91"/>
    <w:bookmarkStart w:id="92" w:name="appendix-f-key-terms"/>
    <w:p>
      <w:pPr>
        <w:pStyle w:val="Heading2"/>
      </w:pPr>
      <w:r>
        <w:t xml:space="preserve">Appendix F: Key Terms</w:t>
      </w:r>
    </w:p>
    <w:p>
      <w:pPr>
        <w:pStyle w:val="FirstParagraph"/>
      </w:pPr>
      <w:r>
        <w:rPr>
          <w:bCs/>
          <w:b/>
        </w:rPr>
        <w:t xml:space="preserve">Dual PA</w:t>
      </w:r>
      <w:r>
        <w:t xml:space="preserve">: The two-attractor system where User PA defines WHAT to discuss and AI PA defines HOW to help.</w:t>
      </w:r>
    </w:p>
    <w:p>
      <w:pPr>
        <w:pStyle w:val="BodyText"/>
      </w:pPr>
      <w:r>
        <w:rPr>
          <w:bCs/>
          <w:b/>
        </w:rPr>
        <w:t xml:space="preserve">Fidelity</w:t>
      </w:r>
      <w:r>
        <w:t xml:space="preserve">: How well the AI’s responses align with the declared purpose (scored 0-100%).</w:t>
      </w:r>
    </w:p>
    <w:p>
      <w:pPr>
        <w:pStyle w:val="BodyText"/>
      </w:pPr>
      <w:r>
        <w:rPr>
          <w:bCs/>
          <w:b/>
        </w:rPr>
        <w:t xml:space="preserve">Primacy Attractor (PA)</w:t>
      </w:r>
      <w:r>
        <w:t xml:space="preserve">: The governance center established from what the user asks for at the start.</w:t>
      </w:r>
    </w:p>
    <w:p>
      <w:pPr>
        <w:pStyle w:val="BodyText"/>
      </w:pPr>
      <w:r>
        <w:rPr>
          <w:bCs/>
          <w:b/>
        </w:rPr>
        <w:t xml:space="preserve">TELOS</w:t>
      </w:r>
      <w:r>
        <w:t xml:space="preserve">: Telically Entrained Linguistic Operational Substrate - the complete governance framework.</w:t>
      </w:r>
    </w:p>
    <w:p>
      <w:pPr>
        <w:pStyle w:val="BodyText"/>
      </w:pPr>
      <w:r>
        <w:rPr>
          <w:bCs/>
          <w:b/>
        </w:rPr>
        <w:t xml:space="preserve">Telemetry</w:t>
      </w:r>
      <w:r>
        <w:t xml:space="preserve">: The audit trail showing all measurements and interventions.</w:t>
      </w:r>
    </w:p>
    <w:p>
      <w:pPr>
        <w:pStyle w:val="BodyText"/>
      </w:pPr>
      <w:r>
        <w:rPr>
          <w:bCs/>
          <w:b/>
        </w:rPr>
        <w:t xml:space="preserve">MBL</w:t>
      </w:r>
      <w:r>
        <w:t xml:space="preserve">: Mitigation Bridge Layer - the system that intervenes when drift is detected.</w:t>
      </w:r>
    </w:p>
    <w:p>
      <w:pPr>
        <w:pStyle w:val="BodyText"/>
      </w:pPr>
      <w:r>
        <w:rPr>
          <w:bCs/>
          <w:b/>
        </w:rPr>
        <w:t xml:space="preserve">Drift</w:t>
      </w:r>
      <w:r>
        <w:t xml:space="preserve">: When the AI starts moving away from what was originally requested.</w:t>
      </w:r>
    </w:p>
    <w:p>
      <w:pPr>
        <w:pStyle w:val="BodyText"/>
      </w:pPr>
      <w:r>
        <w:rPr>
          <w:bCs/>
          <w:b/>
        </w:rPr>
        <w:t xml:space="preserve">Intervention</w:t>
      </w:r>
      <w:r>
        <w:t xml:space="preserve">: Corrections applied to bring the conversation back on track (gentle reminder → explicit correction → regeneration).</w:t>
      </w:r>
    </w:p>
    <w:p>
      <w:r>
        <w:pict>
          <v:rect style="width:0;height:1.5pt" o:hralign="center" o:hrstd="t" o:hr="t"/>
        </w:pict>
      </w:r>
    </w:p>
    <w:p>
      <w:pPr>
        <w:pStyle w:val="FirstParagraph"/>
      </w:pPr>
      <w:r>
        <w:rPr>
          <w:bCs/>
          <w:b/>
        </w:rPr>
        <w:t xml:space="preserve">Document Version</w:t>
      </w:r>
      <w:r>
        <w:t xml:space="preserve">: 2.2</w:t>
      </w:r>
      <w:r>
        <w:br/>
      </w:r>
      <w:r>
        <w:rPr>
          <w:bCs/>
          <w:b/>
        </w:rPr>
        <w:t xml:space="preserve">Release Date</w:t>
      </w:r>
      <w:r>
        <w:t xml:space="preserve">: November 2024</w:t>
      </w:r>
      <w:r>
        <w:br/>
      </w:r>
      <w:r>
        <w:rPr>
          <w:bCs/>
          <w:b/>
        </w:rPr>
        <w:t xml:space="preserve">Status</w:t>
      </w:r>
      <w:r>
        <w:t xml:space="preserve">: Dual PA Architecture Validated</w:t>
      </w:r>
      <w:r>
        <w:br/>
      </w:r>
      <w:r>
        <w:rPr>
          <w:bCs/>
          <w:b/>
        </w:rPr>
        <w:t xml:space="preserve">Next Review</w:t>
      </w:r>
      <w:r>
        <w:t xml:space="preserve">: February 2026 (EU AI Act Template Release)</w:t>
      </w:r>
    </w:p>
    <w:p>
      <w:r>
        <w:pict>
          <v:rect style="width:0;height:1.5pt" o:hralign="center" o:hrstd="t" o:hr="t"/>
        </w:pict>
      </w:r>
    </w:p>
    <w:p>
      <w:pPr>
        <w:pStyle w:val="FirstParagraph"/>
      </w:pPr>
      <w:r>
        <w:rPr>
          <w:iCs/>
          <w:i/>
        </w:rPr>
        <w:t xml:space="preserve">This whitepaper represents the current state of TELOS research and validation. Results are preliminary and subject to peer review. Implementation in production systems should follow appropriate testing and validation protocols.</w:t>
      </w:r>
    </w:p>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2025-11-03T13:18:17Z</dcterms:created>
  <dcterms:modified xsi:type="dcterms:W3CDTF">2025-11-03T13:18:17Z</dcterms:modified>
</cp:coreProperties>
</file>

<file path=docProps/custom.xml><?xml version="1.0" encoding="utf-8"?>
<Properties xmlns="http://schemas.openxmlformats.org/officeDocument/2006/custom-properties" xmlns:vt="http://schemas.openxmlformats.org/officeDocument/2006/docPropsVTypes"/>
</file>