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df" ContentType="application/pdf"/>
  <Override PartName="/word/media/rId26.pdf" ContentType="application/pdf"/>
  <Override PartName="/word/media/rId3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254fac5a05faf099a7155ae4b9e593f91eef3d6"/>
    <w:p>
      <w:pPr>
        <w:pStyle w:val="Heading1"/>
      </w:pPr>
      <w:r>
        <w:t xml:space="preserve">Governance for AI Systems: A Control Engineering Approach</w:t>
      </w:r>
    </w:p>
    <w:p>
      <w:pPr>
        <w:pStyle w:val="FirstParagraph"/>
      </w:pPr>
      <w:r>
        <w:rPr>
          <w:b/>
          <w:bCs/>
        </w:rPr>
        <w:t xml:space="preserve">TELOS Framework Whitepaper</w:t>
      </w:r>
    </w:p>
    <w:p>
      <w:pPr>
        <w:pStyle w:val="BodyText"/>
      </w:pPr>
      <w:r>
        <w:rPr>
          <w:b/>
          <w:bCs/>
        </w:rPr>
        <w:t xml:space="preserve">Version 2.5 - January 2026</w:t>
      </w:r>
    </w:p>
    <w:bookmarkStart w:id="9" w:name="executive-summary"/>
    <w:p>
      <w:pPr>
        <w:pStyle w:val="Heading2"/>
      </w:pPr>
      <w:r>
        <w:t xml:space="preserve">Executive Summary</w:t>
      </w:r>
    </w:p>
    <w:p>
      <w:pPr>
        <w:pStyle w:val="FirstParagraph"/>
      </w:pPr>
      <w:r>
        <w:t xml:space="preserve">AI systems drift from their intended purpose during extended conversations, resulting in a measured loss of reliability between 20% and 40%. This creates compliance risks in healthcare, finance, and government settings. TELOS offers a solution by treating AI governance as an ongoing quality control process. It applies the same statistical methods used in manufacturing, like Six Sigma and ISO 9001, to semantic systems.</w:t>
      </w:r>
    </w:p>
    <w:p>
      <w:pPr>
        <w:pStyle w:val="BodyText"/>
      </w:pPr>
      <w:r>
        <w:t xml:space="preserve">TELOS works as an orchestration-layer infrastructure that assesses every AI response against human-defined rules (Primacy Attractors). It mathematically detects drift and makes proportional corrections in real time. Security tests show 0 successful attacks out of 2,550 adversarial scenarios across five benchmarks: AILuminate (1,200 MLCommons industry-standard), HarmBench (400 general-purpose), MedSafetyBench (900 healthcare-specific), and the SB 243-aligned child safety evaluation suite (50 prompts). Under our stated threat model (black-box query access), this yields a 95% CI upper bound of approximately 0.15% ASR, compared to 3.7% to 11.1% for system prompt defenses.</w:t>
      </w:r>
    </w:p>
    <w:p>
      <w:pPr>
        <w:pStyle w:val="BodyText"/>
      </w:pPr>
      <w:r>
        <w:t xml:space="preserve">Tests for over-refusal calibration show that domain-specific Primacy Attractors lower false positive rates from 24.8% (generic) to 8.0% (Healthcare PA). This proves that TELOS ensures robust safety without unnecessary restrictions.</w:t>
      </w:r>
    </w:p>
    <w:p>
      <w:pPr>
        <w:pStyle w:val="BodyText"/>
      </w:pPr>
      <w:r>
        <w:t xml:space="preserve">With California’s SB 53 taking effect in January 2026 and the EU AI Act enforcement approaching (August 2026 baseline, potentially extended to December 2027 under the Digital Omnibus), TELOS offers the ongoing monitoring infrastructure that these regulations require.</w:t>
      </w:r>
    </w:p>
    <w:bookmarkEnd w:id="9"/>
    <w:bookmarkStart w:id="10" w:name="technical-abstract"/>
    <w:p>
      <w:pPr>
        <w:pStyle w:val="Heading2"/>
      </w:pPr>
      <w:r>
        <w:t xml:space="preserve">Technical Abstract</w:t>
      </w:r>
    </w:p>
    <w:p>
      <w:pPr>
        <w:pStyle w:val="FirstParagraph"/>
      </w:pPr>
      <w:r>
        <w:t xml:space="preserve">Artificial intelligence systems now function as persistent decision engines in crucial areas, yet their governance often comes from outside and remains largely based on guesswork. The TELOS framework suggests a solution built on established control engineering and quality systems principles.</w:t>
      </w:r>
    </w:p>
    <w:p>
      <w:pPr>
        <w:pStyle w:val="BodyText"/>
      </w:pPr>
      <w:r>
        <w:t xml:space="preserve">TELOS acts as a Mathematical Intervention Layer using Proportional Control and Attractor Dynamics within semantic space. It turns adherence to purpose into a measurable and self-correcting process. Each cycle of conversation follows a structured approach based on the DMAIC methodology: Define the purpose, Measure semantic drift as deviation from the Primacy Attractor, Analyze and Improve through proportional control, Stabilize within acceptable limits, and Control by monitoring for ongoing capability assurance. This feedback loop acts as a form of Statistical Process Control (SPC) for cognition, tracking errors, making adjustments, and keeping variations within set boundaries.</w:t>
      </w:r>
    </w:p>
    <w:p>
      <w:pPr>
        <w:pStyle w:val="BodyText"/>
      </w:pPr>
      <w:r>
        <w:t xml:space="preserve">This architecture builds on principles outlined in Quality Systems Regulation (QSR) and ISO 9001/13485, meeting requirements for continuous monitoring, documented corrective actions, and verifiable process control. Each interaction is seen as a process event with measurable deviations, interventions, and stabilization. Telemetry records create a full audit trail, enabling post-market validation and compliance with regulations such as the EU AI Act Article 72, which mandates active, systematic monitoring during runtime.</w:t>
      </w:r>
    </w:p>
    <w:p>
      <w:pPr>
        <w:pStyle w:val="BodyText"/>
      </w:pPr>
      <w:r>
        <w:t xml:space="preserve">Mathematically, TELOS combines proportional control (the operational mechanism) with attractor dynamics (the description of stability), forming a dual framework in which the declared purpose serves as a stable point in complex semantic space. Deviations from this stability are seen as variations in the process, and the formula</w:t>
      </w:r>
      <w:r>
        <w:t xml:space="preserve"> </w:t>
      </w:r>
      <m:oMath>
        <m:r>
          <m:t>F</m:t>
        </m:r>
        <m:r>
          <m:rPr>
            <m:sty m:val="p"/>
          </m:rPr>
          <m:t>=</m:t>
        </m:r>
        <m:r>
          <m:t>K</m:t>
        </m:r>
        <m:r>
          <m:rPr>
            <m:sty m:val="p"/>
          </m:rPr>
          <m:t>⋅</m:t>
        </m:r>
        <m:sSub>
          <m:e>
            <m:r>
              <m:t>e</m:t>
            </m:r>
          </m:e>
          <m:sub>
            <m:r>
              <m:t>t</m:t>
            </m:r>
          </m:sub>
        </m:sSub>
      </m:oMath>
      <w:r>
        <w:t xml:space="preserve"> </w:t>
      </w:r>
      <w:r>
        <w:t xml:space="preserve">allows for ongoing recalibration towards the Primacy Basin. Over time, the system approaches a Primacy State characterized by statistical stability, reduced variation, and continued purpose fidelity.</w:t>
      </w:r>
    </w:p>
    <w:p>
      <w:pPr>
        <w:pStyle w:val="BodyText"/>
      </w:pPr>
      <w:r>
        <w:rPr>
          <w:b/>
          <w:bCs/>
        </w:rPr>
        <w:t xml:space="preserve">Runtime Governance Infrastructure</w:t>
      </w:r>
      <w:r>
        <w:t xml:space="preserve">: TELOS implements runtime constitutional governance through the Primacy Attractor, which encodes expected behavioral norms as mathematical objects. Human governors define what behavior is acceptable (the norm), which is recorded as a solid reference in embedding space—the Primacy Attractor. Every AI response is measured against this norm, and deviations trigger proportional interventions. This happens not through prompt engineering but through orchestration-layer governance that operates above the model layer. The user’s stated purpose becomes the measurable standard: purpose and norm are synonymous. This shifts AI alignment from subjective trust to quantitative norm compliance, providing the continuous monitoring infrastructure that regulations require.</w:t>
      </w:r>
    </w:p>
    <w:p>
      <w:pPr>
        <w:pStyle w:val="BodyText"/>
      </w:pPr>
      <w:r>
        <w:rPr>
          <w:b/>
          <w:bCs/>
        </w:rPr>
        <w:t xml:space="preserve">Adversarial Validation (December 2025 - January 2026)</w:t>
      </w:r>
      <w:r>
        <w:t xml:space="preserve">: Security tests involving 2,550 adversarial attacks show 0 observed successful attacks (0% ASR) with TELOS governance active, yielding a 95% CI upper bound of approximately 0.15% under our black-box threat model. This contrasts with 3.7% to 11.1% ASR for system prompts and 30.8% to 43.9% ASR for raw models. The tests cover five recognized benchmarks: AILuminate (1,200 standard attacks), HarmBench (400 general-purpose attacks from the Center for AI Safety), MedSafetyBench (900 healthcare-specific attacks from NeurIPS 2024), and the SB 243-aligned child safety evaluation suite (50 prompts inspired by California SB 243 requirements).</w:t>
      </w:r>
    </w:p>
    <w:p>
      <w:pPr>
        <w:pStyle w:val="BodyText"/>
      </w:pPr>
      <w:r>
        <w:rPr>
          <w:b/>
          <w:bCs/>
        </w:rPr>
        <w:t xml:space="preserve">Over-Refusal Calibration (XSTest)</w:t>
      </w:r>
      <w:r>
        <w:t xml:space="preserve">: Testing against 250 reliable prompts reveals that domain-specific Primacy Attractors lower false positive rates from 24.8% (generic PA) to 8.0% (Healthcare PA). This indicates a 16.8 percentage point improvement, showing that TELOS reaches strong safety without excessive restrictions. These findings position TELOS not only as alignment infrastructure but as a constitutional security architecture validated against real threats, while still allowing for legitimate use cases.</w:t>
      </w:r>
    </w:p>
    <w:p>
      <w:pPr>
        <w:pStyle w:val="BodyText"/>
      </w:pPr>
      <w:r>
        <w:t xml:space="preserve">By incorporating Lean Six Sigma’s DMAIC methodology directly into its runtime processes, TELOS extends Quality Systems Regulation, established in manufacturing, medical devices, and process industries, into semantic systems. It demonstrates that alignment, or the consistent maintenance of intended behavior over time, can be framed as a measurable property of a self-governing system that follows the same continuous improvement practices found in industrial quality control.</w:t>
      </w:r>
    </w:p>
    <w:p>
      <w:pPr>
        <w:pStyle w:val="BodyText"/>
      </w:pPr>
      <w:r>
        <w:t xml:space="preserve">We are creating the measurement infrastructure that regulations will need. This white paper explains what we have built, why it matters, and how we will validate its effectiveness.</w:t>
      </w:r>
    </w:p>
    <w:p>
      <w:r>
        <w:pict>
          <v:rect style="width:0;height:1.5pt" o:hralign="center" o:hrstd="t" o:hr="t"/>
        </w:pict>
      </w:r>
    </w:p>
    <w:bookmarkEnd w:id="10"/>
    <w:bookmarkStart w:id="24" w:name="X32fc07867516e45fa8ab2474d6bf121ee1f7f23"/>
    <w:p>
      <w:pPr>
        <w:pStyle w:val="Heading2"/>
      </w:pPr>
      <w:r>
        <w:t xml:space="preserve">1. The Governance Crisis: Why Alignment Fails and What Regulators Require</w:t>
      </w:r>
    </w:p>
    <w:bookmarkStart w:id="11" w:name="X136782e066e18f465ad01df708b3c1752a8aa43"/>
    <w:p>
      <w:pPr>
        <w:pStyle w:val="Heading3"/>
      </w:pPr>
      <w:r>
        <w:t xml:space="preserve">1.1 The Persistence Problem Is Not Hypothetical</w:t>
      </w:r>
    </w:p>
    <w:p>
      <w:pPr>
        <w:pStyle w:val="FirstParagraph"/>
      </w:pPr>
      <w:r>
        <w:t xml:space="preserve">Large language models do not maintain alignment consistently across multiple turns in conversations. This is not speculation; it is documented, measured, and reproducible:</w:t>
      </w:r>
    </w:p>
    <w:p>
      <w:pPr>
        <w:pStyle w:val="BodyText"/>
      </w:pPr>
      <w:r>
        <w:t xml:space="preserve">Laban et al. (2025):</w:t>
      </w:r>
      <w:r>
        <w:t xml:space="preserve"> </w:t>
      </w:r>
      <w:r>
        <w:t xml:space="preserve">“LLMs Get Lost in Multi-Turn Conversation”</w:t>
      </w:r>
      <w:r>
        <w:t xml:space="preserve"> </w:t>
      </w:r>
      <w:r>
        <w:t xml:space="preserve">- Microsoft and Salesforce researchers show systematic deterioration, with models losing track of instructions, violating declared boundaries, and forcing users to constantly re-correct.</w:t>
      </w:r>
    </w:p>
    <w:p>
      <w:pPr>
        <w:pStyle w:val="BodyText"/>
      </w:pPr>
      <w:r>
        <w:t xml:space="preserve">Liu et al. (2024):</w:t>
      </w:r>
      <w:r>
        <w:t xml:space="preserve"> </w:t>
      </w:r>
      <w:r>
        <w:t xml:space="preserve">“Lost in the Middle”</w:t>
      </w:r>
      <w:r>
        <w:t xml:space="preserve"> </w:t>
      </w:r>
      <w:r>
        <w:t xml:space="preserve">- Transformers show predictable attention decay. Information in middle contexts loses importance. Early instructions fade as conversations exceed 20-30 turns.</w:t>
      </w:r>
    </w:p>
    <w:p>
      <w:pPr>
        <w:pStyle w:val="BodyText"/>
      </w:pPr>
      <w:r>
        <w:t xml:space="preserve">Wu et al. (2025):</w:t>
      </w:r>
      <w:r>
        <w:t xml:space="preserve"> </w:t>
      </w:r>
      <w:r>
        <w:t xml:space="preserve">“Position Bias in Transformers”</w:t>
      </w:r>
      <w:r>
        <w:t xml:space="preserve"> </w:t>
      </w:r>
      <w:r>
        <w:t xml:space="preserve">- Models show primacy bias where early tokens have more influence initially but lose that over time, mirroring cognitive phenomena found in human memory (Murdock, 1962).</w:t>
      </w:r>
    </w:p>
    <w:p>
      <w:pPr>
        <w:pStyle w:val="BodyText"/>
      </w:pPr>
      <w:r>
        <w:t xml:space="preserve">Gu et al. (2024):</w:t>
      </w:r>
      <w:r>
        <w:t xml:space="preserve"> </w:t>
      </w:r>
      <w:r>
        <w:t xml:space="preserve">“When Attention Sink Emerges”</w:t>
      </w:r>
      <w:r>
        <w:t xml:space="preserve"> </w:t>
      </w:r>
      <w:r>
        <w:t xml:space="preserve">- Attention mechanisms create</w:t>
      </w:r>
      <w:r>
        <w:t xml:space="preserve"> </w:t>
      </w:r>
      <w:r>
        <w:t xml:space="preserve">“sinks”</w:t>
      </w:r>
      <w:r>
        <w:t xml:space="preserve"> </w:t>
      </w:r>
      <w:r>
        <w:t xml:space="preserve">that disproportionately capture focus, diverting attention from critical governance instructions.</w:t>
      </w:r>
    </w:p>
    <w:p>
      <w:pPr>
        <w:pStyle w:val="BodyText"/>
      </w:pPr>
      <w:r>
        <w:t xml:space="preserve">The measured deterioration: 20-40% reliability loss across extended dialogues.</w:t>
      </w:r>
    </w:p>
    <w:p>
      <w:pPr>
        <w:pStyle w:val="BodyText"/>
      </w:pPr>
      <w:r>
        <w:t xml:space="preserve">This is not a future problem; it is occurring now, in production systems, across all major providers. Users feel frustrated:</w:t>
      </w:r>
      <w:r>
        <w:t xml:space="preserve"> </w:t>
      </w:r>
      <w:r>
        <w:t xml:space="preserve">“I already told you not to do that.”</w:t>
      </w:r>
      <w:r>
        <w:t xml:space="preserve"> </w:t>
      </w:r>
      <w:r>
        <w:t xml:space="preserve">Enterprises experience compliance risks: governance constraints declared at the start fade silently by turn 15.</w:t>
      </w:r>
    </w:p>
    <w:bookmarkEnd w:id="11"/>
    <w:bookmarkStart w:id="12" w:name="real-world-consequences"/>
    <w:p>
      <w:pPr>
        <w:pStyle w:val="Heading3"/>
      </w:pPr>
      <w:r>
        <w:t xml:space="preserve">1.2 Real-World Consequences</w:t>
      </w:r>
    </w:p>
    <w:p>
      <w:pPr>
        <w:pStyle w:val="FirstParagraph"/>
      </w:pPr>
      <w:r>
        <w:t xml:space="preserve">Healthcare: A physician instructs the system to</w:t>
      </w:r>
      <w:r>
        <w:t xml:space="preserve"> </w:t>
      </w:r>
      <w:r>
        <w:t xml:space="preserve">“provide information only, never diagnose”</w:t>
      </w:r>
      <w:r>
        <w:t xml:space="preserve"> </w:t>
      </w:r>
      <w:r>
        <w:t xml:space="preserve">at the start of the session. By turn 25, the model starts giving diagnostic interpretations. The physician does not notice right away because the drift is gradual. The session log shows a boundary violation, but there was no real-time intervention.</w:t>
      </w:r>
    </w:p>
    <w:p>
      <w:pPr>
        <w:pStyle w:val="BodyText"/>
      </w:pPr>
      <w:r>
        <w:t xml:space="preserve">Legal: An attorney specifies</w:t>
      </w:r>
      <w:r>
        <w:t xml:space="preserve"> </w:t>
      </w:r>
      <w:r>
        <w:t xml:space="preserve">“analyze precedent, do not draft arguments”</w:t>
      </w:r>
      <w:r>
        <w:t xml:space="preserve"> </w:t>
      </w:r>
      <w:r>
        <w:t xml:space="preserve">as the scope. Mid-conversation, the model begins generating arguments. The attorney has to remind,</w:t>
      </w:r>
      <w:r>
        <w:t xml:space="preserve"> </w:t>
      </w:r>
      <w:r>
        <w:t xml:space="preserve">“Remember, you’re analyzing, not drafting.”</w:t>
      </w:r>
      <w:r>
        <w:t xml:space="preserve"> </w:t>
      </w:r>
      <w:r>
        <w:t xml:space="preserve">This happens multiple times in the session.</w:t>
      </w:r>
    </w:p>
    <w:p>
      <w:pPr>
        <w:pStyle w:val="BodyText"/>
      </w:pPr>
      <w:r>
        <w:t xml:space="preserve">Finance: An analyst sets privacy boundaries:</w:t>
      </w:r>
      <w:r>
        <w:t xml:space="preserve"> </w:t>
      </w:r>
      <w:r>
        <w:t xml:space="preserve">“discuss methodology, do not reference specific portfolio holdings.”</w:t>
      </w:r>
      <w:r>
        <w:t xml:space="preserve"> </w:t>
      </w:r>
      <w:r>
        <w:t xml:space="preserve">The model follows this for 15 turns, then begins mentioning specific portfolio details. The analyst catches it, but only after sensitive information entered the conversation.</w:t>
      </w:r>
    </w:p>
    <w:p>
      <w:pPr>
        <w:pStyle w:val="BodyText"/>
      </w:pPr>
      <w:r>
        <w:t xml:space="preserve">Customer Service: A company trains agents with specific interaction policies. Sessions start compliant. As conversations go on, models diverge from the prescribed language, break escalation protocols, or make commitments outside policy limits. Managers review transcripts later and find violations, but there was no real-time correction.</w:t>
      </w:r>
    </w:p>
    <w:p>
      <w:pPr>
        <w:pStyle w:val="BodyText"/>
      </w:pPr>
      <w:r>
        <w:t xml:space="preserve">In every case: governance constraints were declared, violations occurred, and no system monitored or corrected the drift in real-time.</w:t>
      </w:r>
    </w:p>
    <w:bookmarkEnd w:id="12"/>
    <w:bookmarkStart w:id="13" w:name="Xc2cf852c97536ce8e0241b51774b44942c53cd0"/>
    <w:p>
      <w:pPr>
        <w:pStyle w:val="Heading3"/>
      </w:pPr>
      <w:r>
        <w:t xml:space="preserve">1.2.1 EU AI Act: The Commerce Compliance Deadline</w:t>
      </w:r>
    </w:p>
    <w:p>
      <w:pPr>
        <w:pStyle w:val="FirstParagraph"/>
      </w:pPr>
      <w:r>
        <w:t xml:space="preserve">The EU AI Act sets specific rules for AI systems that interact with natural persons. Companies without proper governance will face disruptions or be kept out of European markets.</w:t>
      </w:r>
    </w:p>
    <w:p>
      <w:pPr>
        <w:pStyle w:val="BodyText"/>
      </w:pPr>
      <w:r>
        <w:t xml:space="preserve">Enforcement Timeline:</w:t>
      </w:r>
    </w:p>
    <w:tbl>
      <w:tblPr>
        <w:tblStyle w:val="Table"/>
        <w:tblW w:type="pct" w:w="5000"/>
        <w:tblLayout w:type="fixed"/>
        <w:tblLook w:firstRow="1" w:lastRow="0" w:firstColumn="0" w:lastColumn="0" w:noHBand="0" w:noVBand="0" w:val="0020"/>
      </w:tblPr>
      <w:tblGrid>
        <w:gridCol w:w="1250"/>
        <w:gridCol w:w="2709"/>
        <w:gridCol w:w="3960"/>
      </w:tblGrid>
      <w:tr>
        <w:trPr>
          <w:tblHeader w:val="on"/>
        </w:trPr>
        <w:tc>
          <w:tcPr/>
          <w:p>
            <w:pPr>
              <w:pStyle w:val="Compact"/>
            </w:pPr>
            <w:r>
              <w:t xml:space="preserve">Date</w:t>
            </w:r>
          </w:p>
        </w:tc>
        <w:tc>
          <w:tcPr/>
          <w:p>
            <w:pPr>
              <w:pStyle w:val="Compact"/>
            </w:pPr>
            <w:r>
              <w:t xml:space="preserve">Requirement</w:t>
            </w:r>
          </w:p>
        </w:tc>
        <w:tc>
          <w:tcPr/>
          <w:p>
            <w:pPr>
              <w:pStyle w:val="Compact"/>
            </w:pPr>
            <w:r>
              <w:t xml:space="preserve">Commercial Impact</w:t>
            </w:r>
          </w:p>
        </w:tc>
      </w:tr>
      <w:tr>
        <w:tc>
          <w:tcPr/>
          <w:p>
            <w:pPr>
              <w:pStyle w:val="Compact"/>
            </w:pPr>
            <w:r>
              <w:t xml:space="preserve">Feb 2, 2026</w:t>
            </w:r>
          </w:p>
        </w:tc>
        <w:tc>
          <w:tcPr/>
          <w:p>
            <w:pPr>
              <w:pStyle w:val="Compact"/>
            </w:pPr>
            <w:r>
              <w:t xml:space="preserve">Transparency obligations (Article 52)</w:t>
            </w:r>
          </w:p>
        </w:tc>
        <w:tc>
          <w:tcPr/>
          <w:p>
            <w:pPr>
              <w:pStyle w:val="Compact"/>
            </w:pPr>
            <w:r>
              <w:t xml:space="preserve">AI systems must disclose they use AI</w:t>
            </w:r>
          </w:p>
        </w:tc>
      </w:tr>
      <w:tr>
        <w:tc>
          <w:tcPr/>
          <w:p>
            <w:pPr>
              <w:pStyle w:val="Compact"/>
            </w:pPr>
            <w:r>
              <w:t xml:space="preserve">Feb 2, 2026</w:t>
            </w:r>
          </w:p>
        </w:tc>
        <w:tc>
          <w:tcPr/>
          <w:p>
            <w:pPr>
              <w:pStyle w:val="Compact"/>
            </w:pPr>
            <w:r>
              <w:t xml:space="preserve">AI literacy requirements</w:t>
            </w:r>
          </w:p>
        </w:tc>
        <w:tc>
          <w:tcPr/>
          <w:p>
            <w:pPr>
              <w:pStyle w:val="Compact"/>
            </w:pPr>
            <w:r>
              <w:t xml:space="preserve">Staff training on AI’s strengths and limits is mandatory</w:t>
            </w:r>
          </w:p>
        </w:tc>
      </w:tr>
      <w:tr>
        <w:tc>
          <w:tcPr/>
          <w:p>
            <w:pPr>
              <w:pStyle w:val="Compact"/>
            </w:pPr>
            <w:r>
              <w:t xml:space="preserve">Aug 2, 2026</w:t>
            </w:r>
          </w:p>
        </w:tc>
        <w:tc>
          <w:tcPr/>
          <w:p>
            <w:pPr>
              <w:pStyle w:val="Compact"/>
            </w:pPr>
            <w:r>
              <w:t xml:space="preserve">Full compliance</w:t>
            </w:r>
          </w:p>
        </w:tc>
        <w:tc>
          <w:tcPr/>
          <w:p>
            <w:pPr>
              <w:pStyle w:val="Compact"/>
            </w:pPr>
            <w:r>
              <w:t xml:space="preserve">High-risk systems need complete governance documentation</w:t>
            </w:r>
          </w:p>
        </w:tc>
      </w:tr>
    </w:tbl>
    <w:p>
      <w:pPr>
        <w:pStyle w:val="BodyText"/>
      </w:pPr>
      <w:r>
        <w:t xml:space="preserve">Key Requirements (Article 52 - Transparency Obligations):</w:t>
      </w:r>
    </w:p>
    <w:p>
      <w:pPr>
        <w:numPr>
          <w:ilvl w:val="0"/>
          <w:numId w:val="1001"/>
        </w:numPr>
      </w:pPr>
      <w:r>
        <w:rPr>
          <w:b/>
          <w:bCs/>
        </w:rPr>
        <w:t xml:space="preserve">Transparency Disclosure</w:t>
      </w:r>
      <w:r>
        <w:t xml:space="preserve">:</w:t>
      </w:r>
      <w:r>
        <w:t xml:space="preserve"> </w:t>
      </w:r>
      <w:r>
        <w:t xml:space="preserve">“Providers shall ensure that AI systems intended to interact with natural persons are designed and developed in such a way that natural persons are informed that they are interacting with an AI system.”</w:t>
      </w:r>
    </w:p>
    <w:p>
      <w:pPr>
        <w:numPr>
          <w:ilvl w:val="0"/>
          <w:numId w:val="1001"/>
        </w:numPr>
      </w:pPr>
      <w:r>
        <w:rPr>
          <w:b/>
          <w:bCs/>
        </w:rPr>
        <w:t xml:space="preserve">Human Escalation Pathways</w:t>
      </w:r>
      <w:r>
        <w:t xml:space="preserve">: Users should have clear ways to escalate to human oversight.</w:t>
      </w:r>
    </w:p>
    <w:p>
      <w:pPr>
        <w:numPr>
          <w:ilvl w:val="0"/>
          <w:numId w:val="1001"/>
        </w:numPr>
      </w:pPr>
      <w:r>
        <w:rPr>
          <w:b/>
          <w:bCs/>
        </w:rPr>
        <w:t xml:space="preserve">Trader Liability</w:t>
      </w:r>
      <w:r>
        <w:t xml:space="preserve">: Traders are fully responsible for all communications with consumers, including AI-generated content. Companies cannot deny responsibility for AI system errors.</w:t>
      </w:r>
    </w:p>
    <w:p>
      <w:pPr>
        <w:numPr>
          <w:ilvl w:val="0"/>
          <w:numId w:val="1001"/>
        </w:numPr>
      </w:pPr>
      <w:r>
        <w:rPr>
          <w:b/>
          <w:bCs/>
        </w:rPr>
        <w:t xml:space="preserve">Content Labeling</w:t>
      </w:r>
      <w:r>
        <w:t xml:space="preserve">: AI-generated content must be labeled before being sent to customers, including emails, responses, and documents.</w:t>
      </w:r>
    </w:p>
    <w:p>
      <w:pPr>
        <w:pStyle w:val="FirstParagraph"/>
      </w:pPr>
      <w:r>
        <w:t xml:space="preserve">High-Risk Classification Triggers:</w:t>
      </w:r>
    </w:p>
    <w:p>
      <w:pPr>
        <w:pStyle w:val="BodyText"/>
      </w:pPr>
      <w:r>
        <w:t xml:space="preserve">AI systems automatically qualify as high-risk (requiring Article 9 governance) when used in:</w:t>
      </w:r>
      <w:r>
        <w:t xml:space="preserve"> </w:t>
      </w:r>
      <w:r>
        <w:t xml:space="preserve">- Financial services: Credit decisions, financial advice, account management</w:t>
      </w:r>
      <w:r>
        <w:t xml:space="preserve"> </w:t>
      </w:r>
      <w:r>
        <w:t xml:space="preserve">- Healthcare: Medical information, symptom assessment, treatment recommendations</w:t>
      </w:r>
      <w:r>
        <w:t xml:space="preserve"> </w:t>
      </w:r>
      <w:r>
        <w:t xml:space="preserve">- Legal services: Legal advice, document preparation, case evaluation</w:t>
      </w:r>
      <w:r>
        <w:t xml:space="preserve"> </w:t>
      </w:r>
      <w:r>
        <w:t xml:space="preserve">- Employment: Hiring, HR decisions, performance reviews</w:t>
      </w:r>
      <w:r>
        <w:t xml:space="preserve"> </w:t>
      </w:r>
      <w:r>
        <w:t xml:space="preserve">- Government: Public services, law enforcement, border control</w:t>
      </w:r>
    </w:p>
    <w:p>
      <w:pPr>
        <w:pStyle w:val="BodyText"/>
      </w:pPr>
      <w:r>
        <w:t xml:space="preserve">Penalty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Violation Type</w:t>
            </w:r>
          </w:p>
        </w:tc>
        <w:tc>
          <w:tcPr/>
          <w:p>
            <w:pPr>
              <w:pStyle w:val="Compact"/>
            </w:pPr>
            <w:r>
              <w:t xml:space="preserve">Maximum Penalty</w:t>
            </w:r>
          </w:p>
        </w:tc>
      </w:tr>
      <w:tr>
        <w:tc>
          <w:tcPr/>
          <w:p>
            <w:pPr>
              <w:pStyle w:val="Compact"/>
            </w:pPr>
            <w:r>
              <w:t xml:space="preserve">Prohibited practices</w:t>
            </w:r>
          </w:p>
        </w:tc>
        <w:tc>
          <w:tcPr/>
          <w:p>
            <w:pPr>
              <w:pStyle w:val="Compact"/>
            </w:pPr>
            <w:r>
              <w:t xml:space="preserve">€35M or 7% of global revenue</w:t>
            </w:r>
          </w:p>
        </w:tc>
      </w:tr>
      <w:tr>
        <w:tc>
          <w:tcPr/>
          <w:p>
            <w:pPr>
              <w:pStyle w:val="Compact"/>
            </w:pPr>
            <w:r>
              <w:t xml:space="preserve">High-risk non-compliance</w:t>
            </w:r>
          </w:p>
        </w:tc>
        <w:tc>
          <w:tcPr/>
          <w:p>
            <w:pPr>
              <w:pStyle w:val="Compact"/>
            </w:pPr>
            <w:r>
              <w:t xml:space="preserve">€15M or 3% of global revenue</w:t>
            </w:r>
          </w:p>
        </w:tc>
      </w:tr>
      <w:tr>
        <w:tc>
          <w:tcPr/>
          <w:p>
            <w:pPr>
              <w:pStyle w:val="Compact"/>
            </w:pPr>
            <w:r>
              <w:t xml:space="preserve">False information to authorities</w:t>
            </w:r>
          </w:p>
        </w:tc>
        <w:tc>
          <w:tcPr/>
          <w:p>
            <w:pPr>
              <w:pStyle w:val="Compact"/>
            </w:pPr>
            <w:r>
              <w:t xml:space="preserve">€7.5M or 1.5% of global revenue</w:t>
            </w:r>
          </w:p>
        </w:tc>
      </w:tr>
    </w:tbl>
    <w:p>
      <w:pPr>
        <w:pStyle w:val="BodyText"/>
      </w:pPr>
      <w:r>
        <w:t xml:space="preserve">Why This Matters for Commerce:</w:t>
      </w:r>
    </w:p>
    <w:p>
      <w:pPr>
        <w:pStyle w:val="BodyText"/>
      </w:pPr>
      <w:r>
        <w:t xml:space="preserve">Consider an enterprise with €1B in annual revenue deploying AI systems that interact with customers in EU markets:</w:t>
      </w:r>
      <w:r>
        <w:t xml:space="preserve"> </w:t>
      </w:r>
      <w:r>
        <w:t xml:space="preserve">- Without compliance: Risk of €15-35M penalty per violation</w:t>
      </w:r>
      <w:r>
        <w:t xml:space="preserve"> </w:t>
      </w:r>
      <w:r>
        <w:t xml:space="preserve">- Multiple violations: Potential exposure of over €100M</w:t>
      </w:r>
      <w:r>
        <w:t xml:space="preserve"> </w:t>
      </w:r>
      <w:r>
        <w:t xml:space="preserve">- Enforcement reality: EU regulators impose maximum fines (Meta: €1.2B GDPR fine, 2023)</w:t>
      </w:r>
    </w:p>
    <w:p>
      <w:pPr>
        <w:pStyle w:val="BodyText"/>
      </w:pPr>
      <w:r>
        <w:t xml:space="preserve">The TELOS Solution:</w:t>
      </w:r>
    </w:p>
    <w:p>
      <w:pPr>
        <w:pStyle w:val="BodyText"/>
      </w:pPr>
      <w:r>
        <w:t xml:space="preserve">TELOS provides the runtime governance infrastructure needed to comply with EU AI Act Article 52 and Article 9 (high-risk systems):</w:t>
      </w:r>
    </w:p>
    <w:p>
      <w:pPr>
        <w:pStyle w:val="Compact"/>
        <w:numPr>
          <w:ilvl w:val="0"/>
          <w:numId w:val="1002"/>
        </w:numPr>
      </w:pPr>
      <w:r>
        <w:t xml:space="preserve">Continuous Purpose Alignment: Primacy Attractor maintains system alignment to declared purpose (Article 52 transparency)</w:t>
      </w:r>
    </w:p>
    <w:p>
      <w:pPr>
        <w:pStyle w:val="Compact"/>
        <w:numPr>
          <w:ilvl w:val="0"/>
          <w:numId w:val="1002"/>
        </w:numPr>
      </w:pPr>
      <w:r>
        <w:t xml:space="preserve">Fidelity Metrics: F_user, F_AI, PS provide quantitative proof of purpose adherence</w:t>
      </w:r>
    </w:p>
    <w:p>
      <w:pPr>
        <w:pStyle w:val="Compact"/>
        <w:numPr>
          <w:ilvl w:val="0"/>
          <w:numId w:val="1002"/>
        </w:numPr>
      </w:pPr>
      <w:r>
        <w:t xml:space="preserve">Governance Audit Trail: Every interaction logged with fidelity metrics and intervention decisions (Article 12 logging)</w:t>
      </w:r>
    </w:p>
    <w:p>
      <w:pPr>
        <w:pStyle w:val="Compact"/>
        <w:numPr>
          <w:ilvl w:val="0"/>
          <w:numId w:val="1002"/>
        </w:numPr>
      </w:pPr>
      <w:r>
        <w:t xml:space="preserve">Human Oversight Evidence: Documented proof that human-defined norms are continuously enforced</w:t>
      </w:r>
    </w:p>
    <w:p>
      <w:pPr>
        <w:pStyle w:val="Compact"/>
        <w:numPr>
          <w:ilvl w:val="0"/>
          <w:numId w:val="1002"/>
        </w:numPr>
      </w:pPr>
      <w:r>
        <w:t xml:space="preserve">Drift Detection: Real-time identification of scope violations before they affect users</w:t>
      </w:r>
    </w:p>
    <w:p>
      <w:pPr>
        <w:pStyle w:val="FirstParagraph"/>
      </w:pPr>
      <w:r>
        <w:t xml:space="preserve">TELOS functions as orchestration-layer infrastructure between applications and LLMs, adding measurable governance to any AI deployment.</w:t>
      </w:r>
    </w:p>
    <w:p>
      <w:pPr>
        <w:pStyle w:val="BodyText"/>
      </w:pPr>
      <w:r>
        <w:t xml:space="preserve">Source:</w:t>
      </w:r>
      <w:r>
        <w:t xml:space="preserve"> </w:t>
      </w:r>
      <w:r>
        <w:t xml:space="preserve">1. EU AI Act Official Text: https://digital-strategy.ec.europa.eu/en/policies/regulatory-framework-ai</w:t>
      </w:r>
    </w:p>
    <w:bookmarkEnd w:id="13"/>
    <w:bookmarkStart w:id="17" w:name="Xea2080d809b3ba5f19ed0ae84ffc813f9f9871d"/>
    <w:p>
      <w:pPr>
        <w:pStyle w:val="Heading3"/>
      </w:pPr>
      <w:r>
        <w:t xml:space="preserve">1.3 What Regulators Are Requiring, And the Approaching Deadline</w:t>
      </w:r>
    </w:p>
    <w:p>
      <w:pPr>
        <w:pStyle w:val="FirstParagraph"/>
      </w:pPr>
      <w:r>
        <w:t xml:space="preserve">Regulatory frameworks are converging on a common principle: governance must be clear, proven, and ongoing.</w:t>
      </w:r>
    </w:p>
    <w:bookmarkStart w:id="14" w:name="X5503c8132cfa943e32dc7bc8fda42de630dd139"/>
    <w:p>
      <w:pPr>
        <w:pStyle w:val="Heading4"/>
      </w:pPr>
      <w:r>
        <w:t xml:space="preserve">EU AI Act (2024), Article 72: Post-Market Monitoring</w:t>
      </w:r>
    </w:p>
    <w:p>
      <w:pPr>
        <w:pStyle w:val="FirstParagraph"/>
      </w:pPr>
      <w:r>
        <w:t xml:space="preserve">“Providers of high-risk AI systems shall establish a post-market monitoring system… The system must follow a systematic and continuous plan and include procedures to:</w:t>
      </w:r>
      <w:r>
        <w:t xml:space="preserve"> </w:t>
      </w:r>
      <w:r>
        <w:t xml:space="preserve">- Gather, document, and analyze relevant data on risks and performance</w:t>
      </w:r>
      <w:r>
        <w:t xml:space="preserve"> </w:t>
      </w:r>
      <w:r>
        <w:t xml:space="preserve">- Review experience gained from using AI systems”</w:t>
      </w:r>
    </w:p>
    <w:p>
      <w:pPr>
        <w:pStyle w:val="BodyText"/>
      </w:pPr>
      <w:r>
        <w:t xml:space="preserve">What this means: You cannot declare compliance based on design-time testing alone. You must keep track of whether governance limits are upheld during actual use.</w:t>
      </w:r>
    </w:p>
    <w:p>
      <w:pPr>
        <w:pStyle w:val="BodyText"/>
      </w:pPr>
      <w:r>
        <w:t xml:space="preserve">What current systems provide: Pre-deployment checks. Post-hoc transcript evaluations.</w:t>
      </w:r>
    </w:p>
    <w:p>
      <w:pPr>
        <w:pStyle w:val="BodyText"/>
      </w:pPr>
      <w:r>
        <w:t xml:space="preserve">What’s missing: Real-time measurements of whether stated limits are maintained. Proof that issues are caught and fixed during interactions, not just found in audits.</w:t>
      </w:r>
    </w:p>
    <w:bookmarkEnd w:id="14"/>
    <w:bookmarkStart w:id="15" w:name="X506da4f5b83f6b5c718735155f97ea435941937"/>
    <w:p>
      <w:pPr>
        <w:pStyle w:val="Heading4"/>
      </w:pPr>
      <w:r>
        <w:t xml:space="preserve">NIST AI Risk Management Framework (2023): MEASURE Function</w:t>
      </w:r>
    </w:p>
    <w:p>
      <w:pPr>
        <w:pStyle w:val="FirstParagraph"/>
      </w:pPr>
      <w:r>
        <w:t xml:space="preserve">“Identified AI risks are tracked over time… Appropriate methods and metrics are identified and put into action… Mechanisms for tracking AI risks over time must be established”</w:t>
      </w:r>
    </w:p>
    <w:p>
      <w:pPr>
        <w:pStyle w:val="BodyText"/>
      </w:pPr>
      <w:r>
        <w:t xml:space="preserve">What this means: Risk tracking isn’t a one-off task. It must be ongoing and documented throughout the system’s operation.</w:t>
      </w:r>
    </w:p>
    <w:p>
      <w:pPr>
        <w:pStyle w:val="BodyText"/>
      </w:pPr>
      <w:r>
        <w:t xml:space="preserve">What current systems provide: Static risk assessments. Periodic evaluations.</w:t>
      </w:r>
    </w:p>
    <w:p>
      <w:pPr>
        <w:pStyle w:val="BodyText"/>
      </w:pPr>
      <w:r>
        <w:t xml:space="preserve">What’s missing: Turn-by-turn risk metrics. Evidence that governance measures are actively ensuring alignment rather than assuming it remains intact.</w:t>
      </w:r>
    </w:p>
    <w:bookmarkEnd w:id="15"/>
    <w:bookmarkStart w:id="16" w:name="X6398f10b41b2bcb7770293eb33c5e3799d9fdd6"/>
    <w:p>
      <w:pPr>
        <w:pStyle w:val="Heading4"/>
      </w:pPr>
      <w:r>
        <w:t xml:space="preserve">The Compliance Vacuum and Approaching Deadlines</w:t>
      </w:r>
    </w:p>
    <w:p>
      <w:pPr>
        <w:pStyle w:val="FirstParagraph"/>
      </w:pPr>
      <w:r>
        <w:t xml:space="preserve">As of January 2026, no standardized technical framework exists for Article 72 post-market monitoring.</w:t>
      </w:r>
    </w:p>
    <w:p>
      <w:pPr>
        <w:pStyle w:val="BodyText"/>
      </w:pPr>
      <w:r>
        <w:t xml:space="preserve">California SB 53 (Transparency in Frontier Artificial Intelligence Act) was signed into law on September 29, 2025, and takes effect January 1, 2026, creating the first state-level AI safety compliance requirements in the United States.</w:t>
      </w:r>
    </w:p>
    <w:p>
      <w:pPr>
        <w:pStyle w:val="BodyText"/>
      </w:pPr>
      <w:r>
        <w:t xml:space="preserve">The law requires frontier AI developers to:</w:t>
      </w:r>
      <w:r>
        <w:t xml:space="preserve"> </w:t>
      </w:r>
      <w:r>
        <w:t xml:space="preserve">- Publish detailed safety frameworks on company websites</w:t>
      </w:r>
      <w:r>
        <w:t xml:space="preserve"> </w:t>
      </w:r>
      <w:r>
        <w:t xml:space="preserve">- Submit standardized reports on model release transparency</w:t>
      </w:r>
      <w:r>
        <w:t xml:space="preserve"> </w:t>
      </w:r>
      <w:r>
        <w:t xml:space="preserve">- Report critical safety incidents to the California Office of Emergency Services (Cal OES)</w:t>
      </w:r>
      <w:r>
        <w:t xml:space="preserve"> </w:t>
      </w:r>
      <w:r>
        <w:t xml:space="preserve">- Implement whistleblower protections with civil penalties up to $1M per violation</w:t>
      </w:r>
    </w:p>
    <w:p>
      <w:pPr>
        <w:pStyle w:val="BodyText"/>
      </w:pPr>
      <w:r>
        <w:t xml:space="preserve">Covered entities: Companies with &gt;$500M annual revenue deploying models trained with more than</w:t>
      </w:r>
      <w:r>
        <w:t xml:space="preserve"> </w:t>
      </w:r>
      <m:oMath>
        <m:sSup>
          <m:e>
            <m:r>
              <m:t>10</m:t>
            </m:r>
          </m:e>
          <m:sup>
            <m:r>
              <m:t>26</m:t>
            </m:r>
          </m:sup>
        </m:sSup>
      </m:oMath>
      <w:r>
        <w:t xml:space="preserve"> </w:t>
      </w:r>
      <w:r>
        <w:t xml:space="preserve">FLOPs (OpenAI, Anthropic, Meta, Google DeepMind, Mistral).</w:t>
      </w:r>
    </w:p>
    <w:p>
      <w:pPr>
        <w:pStyle w:val="BodyText"/>
      </w:pPr>
      <w:r>
        <w:t xml:space="preserve">Critical requirement: Safety frameworks must show active governance mechanisms, not just design-time testing. Companies must provide proof that declared safety limits stay enforced throughout runtime deployment, exactly as TELOS does through runtime constitutional governance.</w:t>
      </w:r>
    </w:p>
    <w:p>
      <w:pPr>
        <w:pStyle w:val="BodyText"/>
      </w:pPr>
      <w:r>
        <w:t xml:space="preserve">TELOS directly addresses SB 53 compliance: By encoding safety limits as Primacy Attractors (instantiated constitutional law), measuring every response against these limits (fidelity scoring), and generating automatic audit trails (telemetry logs), TELOS supplies the quantitative governance proof that safety framework publication needs. When Cal OES requests incident reports, organizations can show proactive drift detection and correction instead of reactive post-hoc discovery.</w:t>
      </w:r>
    </w:p>
    <w:p>
      <w:pPr>
        <w:pStyle w:val="BodyText"/>
      </w:pPr>
      <w:r>
        <w:t xml:space="preserve">EU AI Act Article 72 requires providers of high-risk AI systems to implement post-market monitoring by August 2026. The European Commission must provide a template for these systems by February 2026 (EU AI Act, 2024, Article 72).</w:t>
      </w:r>
    </w:p>
    <w:p>
      <w:pPr>
        <w:pStyle w:val="BodyText"/>
      </w:pPr>
      <w:r>
        <w:rPr>
          <w:b/>
          <w:bCs/>
        </w:rPr>
        <w:t xml:space="preserve">EU Digital Omnibus Update (November 2025):</w:t>
      </w:r>
      <w:r>
        <w:t xml:space="preserve"> </w:t>
      </w:r>
      <w:r>
        <w:t xml:space="preserve">The European Commission proposed extending high-risk AI compliance deadlines through the Digital Omnibus package, with enforcement potentially delayed until December 2027 (up to 16 months extension, with product-embedded systems extended to August 2028). The extension is conditional on the availability of adequate compliance support infrastructure, including harmonized standards and guidance tools. This proposal is currently under negotiation by the European Parliament and Council, with trilogue discussions expected mid-2026. The regulatory requirements and technical obligations remain unchanged - only the enforcement timeline may shift. Organizations should continue preparing governance infrastructure as the fundamental compliance requirements persist regardless of deadline extensions.</w:t>
      </w:r>
    </w:p>
    <w:p>
      <w:pPr>
        <w:pStyle w:val="BodyText"/>
      </w:pPr>
      <w:r>
        <w:t xml:space="preserve">Timeline convergence: California SB 53 (January 2026) is immediate, while EU timelines face potential extension through the Digital Omnibus. Regardless of specific deadlines, all frameworks converge on the same underlying capability: continuous, quantitative, auditable governance monitoring.</w:t>
      </w:r>
    </w:p>
    <w:p>
      <w:pPr>
        <w:pStyle w:val="BodyText"/>
      </w:pPr>
      <w:r>
        <w:t xml:space="preserve">Current state: Enterprises are using ad-hoc methods, mainly post-hoc transcript review, periodic sampling, and manual audits. These create compliance documentation burdens without delivering the continuous quantitative evidence that Article 72 explicitly demands:</w:t>
      </w:r>
      <w:r>
        <w:t xml:space="preserve"> </w:t>
      </w:r>
      <w:r>
        <w:t xml:space="preserve">“systematic procedures,”</w:t>
      </w:r>
      <w:r>
        <w:t xml:space="preserve"> </w:t>
      </w:r>
      <w:r>
        <w:t xml:space="preserve">“relevant data,”</w:t>
      </w:r>
      <w:r>
        <w:t xml:space="preserve"> </w:t>
      </w:r>
      <w:r>
        <w:t xml:space="preserve">“continuous plan.”</w:t>
      </w:r>
    </w:p>
    <w:p>
      <w:pPr>
        <w:pStyle w:val="BodyText"/>
      </w:pPr>
      <w:r>
        <w:t xml:space="preserve">The gap between regulatory requirements (continuous monitoring with auditable evidence) and technical capability (periodic sampling with narrative documentation) is currently unfilled.</w:t>
      </w:r>
    </w:p>
    <w:p>
      <w:pPr>
        <w:pStyle w:val="BodyText"/>
      </w:pPr>
      <w:r>
        <w:t xml:space="preserve">Whether the EU enforcement occurs in August 2026 or December 2027, institutions deploying high-risk AI systems face the same fundamental requirement: continuous monitoring infrastructure that generates auditable evidence of governance effectiveness.</w:t>
      </w:r>
    </w:p>
    <w:p>
      <w:pPr>
        <w:pStyle w:val="BodyText"/>
      </w:pPr>
      <w:r>
        <w:t xml:space="preserve">TELOS addresses this gap through orchestration-layer governance: We provide the measurement tools, fidelity scoring, drift detection, intervention logging, stability tracking, that continuous post-market monitoring needs. Runtime constitutional governance (Primacy Attractor architecture) supplies the</w:t>
      </w:r>
      <w:r>
        <w:t xml:space="preserve"> </w:t>
      </w:r>
      <w:r>
        <w:t xml:space="preserve">“systematic procedures”</w:t>
      </w:r>
      <w:r>
        <w:t xml:space="preserve"> </w:t>
      </w:r>
      <w:r>
        <w:t xml:space="preserve">and</w:t>
      </w:r>
      <w:r>
        <w:t xml:space="preserve"> </w:t>
      </w:r>
      <w:r>
        <w:t xml:space="preserve">“continuous plan”</w:t>
      </w:r>
      <w:r>
        <w:t xml:space="preserve"> </w:t>
      </w:r>
      <w:r>
        <w:t xml:space="preserve">that Article 72 mandates, while adversarial validation (0% ASR across 2,550 attacks) shows the security properties that safety frameworks must document for SB 53 compliance.</w:t>
      </w:r>
    </w:p>
    <w:p>
      <w:pPr>
        <w:pStyle w:val="BodyText"/>
      </w:pPr>
      <w:r>
        <w:t xml:space="preserve">Whether these specific mechanisms become standard or inform alternative approaches, the class of technical infrastructure they represent is what regulatory frameworks demand: constitutional governance with quantitative evidence, not heuristic trust.</w:t>
      </w:r>
    </w:p>
    <w:p>
      <w:pPr>
        <w:pStyle w:val="BodyText"/>
      </w:pPr>
      <w:r>
        <w:t xml:space="preserve">The California SB 53 deadline (January 2026) is immediate. EU enforcement timelines may extend to December 2027 under the Digital Omnibus proposal, but the technical requirements remain unchanged. Organizations building governance infrastructure now gain competitive advantage regardless of which timeline materializes.</w:t>
      </w:r>
    </w:p>
    <w:bookmarkEnd w:id="16"/>
    <w:bookmarkEnd w:id="17"/>
    <w:bookmarkStart w:id="19" w:name="Xc71eb9cb2c37d1f3265039ec82743484893e4d7"/>
    <w:p>
      <w:pPr>
        <w:pStyle w:val="Heading3"/>
      </w:pPr>
      <w:r>
        <w:t xml:space="preserve">1.4 The Authority Inversion: Human-in-the-Loop as Architecture</w:t>
      </w:r>
    </w:p>
    <w:p>
      <w:pPr>
        <w:pStyle w:val="FirstParagraph"/>
      </w:pPr>
      <w:r>
        <w:t xml:space="preserve">Traditional AI systems place the model as the primary authority, with humans adjusting to AI outputs. TELOS flips this structure:</w:t>
      </w:r>
    </w:p>
    <w:p>
      <w:pPr>
        <w:pStyle w:val="BodyText"/>
      </w:pPr>
      <w:r>
        <w:t xml:space="preserve">Traditional Architecture:</w:t>
      </w:r>
    </w:p>
    <w:p>
      <w:pPr>
        <w:pStyle w:val="BodyText"/>
      </w:pPr>
      <w:r>
        <w:t xml:space="preserve">AI System (decides acceptable behavior) → Humans (receive outputs)</w:t>
      </w:r>
    </w:p>
    <w:p>
      <w:pPr>
        <w:pStyle w:val="BodyText"/>
      </w:pPr>
      <w:r>
        <w:t xml:space="preserve">TELOS Architecture:</w:t>
      </w:r>
    </w:p>
    <w:p>
      <w:pPr>
        <w:pStyle w:val="BodyText"/>
      </w:pPr>
      <w:r>
        <w:t xml:space="preserve">Human Authority (defines Primacy Attractor)</w:t>
      </w:r>
      <w:r>
        <w:t xml:space="preserve"> </w:t>
      </w:r>
      <w:r>
        <w:t xml:space="preserve">↓</w:t>
      </w:r>
      <w:r>
        <w:t xml:space="preserve"> </w:t>
      </w:r>
      <w:r>
        <w:t xml:space="preserve">Proportional Control (enforces alignment via</w:t>
      </w:r>
      <w:r>
        <w:t xml:space="preserve"> </w:t>
      </w:r>
      <m:oMath>
        <m:sSub>
          <m:e>
            <m:r>
              <m:t>F</m:t>
            </m:r>
          </m:e>
          <m:sub>
            <m:r>
              <m:t>t</m:t>
            </m:r>
          </m:sub>
        </m:sSub>
        <m:r>
          <m:rPr>
            <m:sty m:val="p"/>
          </m:rPr>
          <m:t>=</m:t>
        </m:r>
        <m:r>
          <m:t>K</m:t>
        </m:r>
        <m:r>
          <m:rPr>
            <m:sty m:val="p"/>
          </m:rPr>
          <m:t>⋅</m:t>
        </m:r>
        <m:sSub>
          <m:e>
            <m:r>
              <m:t>e</m:t>
            </m:r>
          </m:e>
          <m:sub>
            <m:r>
              <m:t>t</m:t>
            </m:r>
          </m:sub>
        </m:sSub>
      </m:oMath>
      <w:r>
        <w:t xml:space="preserve">)</w:t>
      </w:r>
      <w:r>
        <w:t xml:space="preserve"> </w:t>
      </w:r>
      <w:r>
        <w:t xml:space="preserve">↓</w:t>
      </w:r>
      <w:r>
        <w:t xml:space="preserve"> </w:t>
      </w:r>
      <w:r>
        <w:t xml:space="preserve">AI/LLM (generates outputs under governance)</w:t>
      </w:r>
    </w:p>
    <w:p>
      <w:pPr>
        <w:pStyle w:val="BodyText"/>
      </w:pPr>
      <w:r>
        <w:t xml:space="preserve">The Primacy Attractor is not AI-generated; it is mathematically encoded human intent. Every response is measured against this human-defined reference point. When drift happens, the system doesn’t decide whether to act based on AI judgment; it uses quantitative measurements of deviation from human-specified limits.</w:t>
      </w:r>
    </w:p>
    <w:p>
      <w:pPr>
        <w:pStyle w:val="BodyText"/>
      </w:pPr>
      <w:r>
        <w:t xml:space="preserve">This architectural inversion addresses the core concern in AI governance: as systems become more capable, who has the ultimate authority? TELOS ensures:</w:t>
      </w:r>
      <w:r>
        <w:t xml:space="preserve"> </w:t>
      </w:r>
      <w:r>
        <w:t xml:space="preserve">- Humans remain at the top: Constitutional requirements are human-written.</w:t>
      </w:r>
      <w:r>
        <w:t xml:space="preserve"> </w:t>
      </w:r>
      <w:r>
        <w:t xml:space="preserve">- AI remains the governed subsystem: Models generate outputs within human-defined limits.</w:t>
      </w:r>
      <w:r>
        <w:t xml:space="preserve"> </w:t>
      </w:r>
      <w:r>
        <w:t xml:space="preserve">- Proportional correction enforces boundaries: Operating on behalf of human authority, not AI autonomy.</w:t>
      </w:r>
    </w:p>
    <w:p>
      <w:pPr>
        <w:pStyle w:val="BodyText"/>
      </w:pPr>
      <w:r>
        <w:t xml:space="preserve">This directly meets the EU AI Act</w:t>
      </w:r>
      <w:r>
        <w:t xml:space="preserve"> </w:t>
      </w:r>
      <w:r>
        <w:t xml:space="preserve">“human oversight”</w:t>
      </w:r>
      <w:r>
        <w:t xml:space="preserve"> </w:t>
      </w:r>
      <w:r>
        <w:t xml:space="preserve">requirements and aligns with Meaningful Human Control (MHC) frameworks in AI ethics literature. TELOS doesn’t align AI to AI preferences; it enforces human constitutional law over AI behavior through orchestration-layer architecture.</w:t>
      </w:r>
    </w:p>
    <w:p>
      <w:pPr>
        <w:pStyle w:val="BodyText"/>
      </w:pPr>
      <w:r>
        <w:t xml:space="preserve">Competitive Advantage: Starting January 2026, frontier AI companies will face Cal OES reporting requirements without standardized technical infrastructure. TELOS provides ready-made compliance: Primacy Attractors encode safety frameworks, fidelity scores show continuous monitoring, and telemetry logs automate incident reporting. Organizations can show proactive governance rather than reactive post-hoc discovery, turning compliance burdens into competitive advantages.</w:t>
      </w:r>
    </w:p>
    <w:bookmarkStart w:id="18" w:name="the-due-diligence-standard"/>
    <w:p>
      <w:pPr>
        <w:pStyle w:val="Heading4"/>
      </w:pPr>
      <w:r>
        <w:t xml:space="preserve">The Due Diligence Standard</w:t>
      </w:r>
    </w:p>
    <w:p>
      <w:pPr>
        <w:pStyle w:val="FirstParagraph"/>
      </w:pPr>
      <w:r>
        <w:t xml:space="preserve">Both frameworks point toward the same need: observable demonstrable due diligence.</w:t>
      </w:r>
    </w:p>
    <w:p>
      <w:pPr>
        <w:pStyle w:val="BodyText"/>
      </w:pPr>
      <w:r>
        <w:t xml:space="preserve">Not:</w:t>
      </w:r>
      <w:r>
        <w:t xml:space="preserve"> </w:t>
      </w:r>
      <w:r>
        <w:t xml:space="preserve">“We designed the system to be safe.”</w:t>
      </w:r>
      <w:r>
        <w:t xml:space="preserve"> </w:t>
      </w:r>
      <w:r>
        <w:t xml:space="preserve">But:</w:t>
      </w:r>
      <w:r>
        <w:t xml:space="preserve"> </w:t>
      </w:r>
      <w:r>
        <w:t xml:space="preserve">“Here is continuous evidence that safety limits remained active throughout deployment.”</w:t>
      </w:r>
    </w:p>
    <w:p>
      <w:pPr>
        <w:pStyle w:val="BodyText"/>
      </w:pPr>
      <w:r>
        <w:t xml:space="preserve">Not:</w:t>
      </w:r>
      <w:r>
        <w:t xml:space="preserve"> </w:t>
      </w:r>
      <w:r>
        <w:t xml:space="preserve">“We instructed the model to follow boundaries.”</w:t>
      </w:r>
      <w:r>
        <w:t xml:space="preserve"> </w:t>
      </w:r>
      <w:r>
        <w:t xml:space="preserve">But:</w:t>
      </w:r>
      <w:r>
        <w:t xml:space="preserve"> </w:t>
      </w:r>
      <w:r>
        <w:t xml:space="preserve">“Here is measurement showing boundaries were maintained, and here is proof of correction when drift occurred.”</w:t>
      </w:r>
    </w:p>
    <w:p>
      <w:pPr>
        <w:pStyle w:val="BodyText"/>
      </w:pPr>
      <w:r>
        <w:t xml:space="preserve">Not:</w:t>
      </w:r>
      <w:r>
        <w:t xml:space="preserve"> </w:t>
      </w:r>
      <w:r>
        <w:t xml:space="preserve">“We reviewed sessions after the fact.”</w:t>
      </w:r>
      <w:r>
        <w:t xml:space="preserve"> </w:t>
      </w:r>
      <w:r>
        <w:t xml:space="preserve">But:</w:t>
      </w:r>
      <w:r>
        <w:t xml:space="preserve"> </w:t>
      </w:r>
      <w:r>
        <w:t xml:space="preserve">“Here is real-time telemetry showing governance monitoring was continuous.”</w:t>
      </w:r>
    </w:p>
    <w:p>
      <w:pPr>
        <w:pStyle w:val="BodyText"/>
      </w:pPr>
      <w:r>
        <w:t xml:space="preserve">This is the gap TELOS addresses: We are building the measurement and correction infrastructure that makes continuous governance observable and demonstrable.</w:t>
      </w:r>
    </w:p>
    <w:bookmarkEnd w:id="18"/>
    <w:bookmarkEnd w:id="19"/>
    <w:bookmarkStart w:id="20" w:name="X9455406c82288f2bb02d8189bcb2273e5cfc645"/>
    <w:p>
      <w:pPr>
        <w:pStyle w:val="Heading3"/>
      </w:pPr>
      <w:r>
        <w:t xml:space="preserve">1.5 Why Current Approaches Cannot Satisfy This Standard</w:t>
      </w:r>
    </w:p>
    <w:p>
      <w:pPr>
        <w:pStyle w:val="FirstParagraph"/>
      </w:pPr>
      <w:r>
        <w:t xml:space="preserve">Constitutional AI and Provider Safeguards (Bai et al., 2022):</w:t>
      </w:r>
      <w:r>
        <w:t xml:space="preserve"> </w:t>
      </w:r>
      <w:r>
        <w:t xml:space="preserve">- Essential baseline: prevent harmful content, establish universal safety floors.</w:t>
      </w:r>
      <w:r>
        <w:t xml:space="preserve"> </w:t>
      </w:r>
      <w:r>
        <w:t xml:space="preserve">- Operate at design-time and model-level.</w:t>
      </w:r>
      <w:r>
        <w:t xml:space="preserve"> </w:t>
      </w:r>
      <w:r>
        <w:t xml:space="preserve">- Do not measure or respond to session-specific constraints declared within context windows.</w:t>
      </w:r>
      <w:r>
        <w:t xml:space="preserve"> </w:t>
      </w:r>
      <w:r>
        <w:t xml:space="preserve">- Verdict: Necessary but insufficient for runtime governance.</w:t>
      </w:r>
    </w:p>
    <w:p>
      <w:pPr>
        <w:pStyle w:val="BodyText"/>
      </w:pPr>
      <w:r>
        <w:t xml:space="preserve">Prompt Engineering:</w:t>
      </w:r>
      <w:r>
        <w:t xml:space="preserve"> </w:t>
      </w:r>
      <w:r>
        <w:t xml:space="preserve">- State limits at session start.</w:t>
      </w:r>
      <w:r>
        <w:t xml:space="preserve"> </w:t>
      </w:r>
      <w:r>
        <w:t xml:space="preserve">- Hope they persist through attention mechanisms.</w:t>
      </w:r>
      <w:r>
        <w:t xml:space="preserve"> </w:t>
      </w:r>
      <w:r>
        <w:t xml:space="preserve">- No measurement of whether they persist.</w:t>
      </w:r>
      <w:r>
        <w:t xml:space="preserve"> </w:t>
      </w:r>
      <w:r>
        <w:t xml:space="preserve">- No correction when they erode.</w:t>
      </w:r>
      <w:r>
        <w:t xml:space="preserve"> </w:t>
      </w:r>
      <w:r>
        <w:t xml:space="preserve">- Verdict: Declaration without enforcement.</w:t>
      </w:r>
    </w:p>
    <w:p>
      <w:pPr>
        <w:pStyle w:val="BodyText"/>
      </w:pPr>
      <w:r>
        <w:t xml:space="preserve">Post-Hoc Review:</w:t>
      </w:r>
      <w:r>
        <w:t xml:space="preserve"> </w:t>
      </w:r>
      <w:r>
        <w:t xml:space="preserve">- Analyze transcripts after sessions are complete.</w:t>
      </w:r>
      <w:r>
        <w:t xml:space="preserve"> </w:t>
      </w:r>
      <w:r>
        <w:t xml:space="preserve">- Identify violations afterward.</w:t>
      </w:r>
      <w:r>
        <w:t xml:space="preserve"> </w:t>
      </w:r>
      <w:r>
        <w:t xml:space="preserve">- Cannot stop violations before they reach users.</w:t>
      </w:r>
      <w:r>
        <w:t xml:space="preserve"> </w:t>
      </w:r>
      <w:r>
        <w:t xml:space="preserve">- Cannot generate evidence of active governance during sessions.</w:t>
      </w:r>
      <w:r>
        <w:t xml:space="preserve"> </w:t>
      </w:r>
      <w:r>
        <w:t xml:space="preserve">- Verdict: Audit without prevention.</w:t>
      </w:r>
    </w:p>
    <w:p>
      <w:pPr>
        <w:pStyle w:val="BodyText"/>
      </w:pPr>
      <w:r>
        <w:t xml:space="preserve">Periodic Reminders:</w:t>
      </w:r>
      <w:r>
        <w:t xml:space="preserve"> </w:t>
      </w:r>
      <w:r>
        <w:t xml:space="preserve">- Restate limits at fixed intervals (every 10 turns).</w:t>
      </w:r>
      <w:r>
        <w:t xml:space="preserve"> </w:t>
      </w:r>
      <w:r>
        <w:t xml:space="preserve">- Independent of whether drift is ongoing.</w:t>
      </w:r>
      <w:r>
        <w:t xml:space="preserve"> </w:t>
      </w:r>
      <w:r>
        <w:t xml:space="preserve">- Over-corrects when unnecessary (adds latency).</w:t>
      </w:r>
      <w:r>
        <w:t xml:space="preserve"> </w:t>
      </w:r>
      <w:r>
        <w:t xml:space="preserve">- Under-corrects when drift is rapid.</w:t>
      </w:r>
      <w:r>
        <w:t xml:space="preserve"> </w:t>
      </w:r>
      <w:r>
        <w:t xml:space="preserve">- No effectiveness measurement.</w:t>
      </w:r>
      <w:r>
        <w:t xml:space="preserve"> </w:t>
      </w:r>
      <w:r>
        <w:t xml:space="preserve">- Verdict: Cadence without feedback.</w:t>
      </w:r>
    </w:p>
    <w:p>
      <w:pPr>
        <w:pStyle w:val="BodyText"/>
      </w:pPr>
      <w:r>
        <w:t xml:space="preserve">None of these approaches provide what regulators require: continuous measurement of governance persistence, proportional intervention when drift occurs, and auditable telemetry documenting both.</w:t>
      </w:r>
    </w:p>
    <w:bookmarkEnd w:id="20"/>
    <w:bookmarkStart w:id="21" w:name="Xadca376cf5b6ec19bf7a49a38499d8b918fab79"/>
    <w:p>
      <w:pPr>
        <w:pStyle w:val="Heading3"/>
      </w:pPr>
      <w:r>
        <w:t xml:space="preserve">1.5.1 Industry Recognition: Even Frontier Labs Acknowledge the Gap</w:t>
      </w:r>
    </w:p>
    <w:p>
      <w:pPr>
        <w:pStyle w:val="FirstParagraph"/>
      </w:pPr>
      <w:r>
        <w:t xml:space="preserve">The insufficiency of training-time alignment is not merely an academic observation. It is now acknowledged by the developers of Constitutional AI themselves.</w:t>
      </w:r>
    </w:p>
    <w:p>
      <w:pPr>
        <w:pStyle w:val="BodyText"/>
      </w:pPr>
      <w:r>
        <w:t xml:space="preserve">In January 2026, Anthropic CEO Dario Amodei published</w:t>
      </w:r>
      <w:r>
        <w:t xml:space="preserve"> </w:t>
      </w:r>
      <w:r>
        <w:t xml:space="preserve">“The Adolescence of Technology,”</w:t>
      </w:r>
      <w:r>
        <w:t xml:space="preserve"> </w:t>
      </w:r>
      <w:r>
        <w:t xml:space="preserve">a 20,000-word analysis of AI risks and mitigations. Notably, Amodei describes Anthropic’s investment in runtime infrastructure beyond Constitutional AI:</w:t>
      </w:r>
    </w:p>
    <w:p>
      <w:pPr>
        <w:pStyle w:val="BlockText"/>
      </w:pPr>
      <w:r>
        <w:t xml:space="preserve">“We are investing in a wide range of evaluations so that we can understand the behaviors of our models in the lab, as well as</w:t>
      </w:r>
      <w:r>
        <w:t xml:space="preserve"> </w:t>
      </w:r>
      <w:r>
        <w:rPr>
          <w:b/>
          <w:bCs/>
        </w:rPr>
        <w:t xml:space="preserve">monitoring tools to observe behaviors in the wild</w:t>
      </w:r>
      <w:r>
        <w:t xml:space="preserve">.”</w:t>
      </w:r>
    </w:p>
    <w:p>
      <w:pPr>
        <w:pStyle w:val="BlockText"/>
      </w:pPr>
      <w:r>
        <w:t xml:space="preserve">“We’ve implemented… a classifier that specifically detects and blocks bioweapon-related outputs… [We] have generally found them highly robust even against sophisticated adversarial attacks.”</w:t>
      </w:r>
    </w:p>
    <w:p>
      <w:pPr>
        <w:pStyle w:val="BlockText"/>
      </w:pPr>
      <w:r>
        <w:t xml:space="preserve">“These classifiers increase the costs to serve our models measurably (in some models, they are close to 5% of total inference costs).”</w:t>
      </w:r>
    </w:p>
    <w:p>
      <w:pPr>
        <w:pStyle w:val="FirstParagraph"/>
      </w:pPr>
      <w:r>
        <w:t xml:space="preserve">This represents a significant admission: the pioneers of Constitutional AI acknowledge that training-time alignment requires runtime augmentation. Anthropic now deploys specialized classifiers, at meaningful computational cost, to catch what Constitutional AI alone cannot prevent.</w:t>
      </w:r>
    </w:p>
    <w:p>
      <w:pPr>
        <w:pStyle w:val="BodyText"/>
      </w:pPr>
      <w:r>
        <w:t xml:space="preserve">TELOS extends this principle. Where Anthropic’s classifiers target specific harm categories (bioweapons), TELOS provides general-purpose constitutional enforcement. Where Anthropic monitors their own models internally, TELOS enables third-party governance infrastructure independent of model providers. Where Anthropic’s classifiers operate as proprietary safeguards, TELOS publishes its methodology openly for validation and adoption.</w:t>
      </w:r>
    </w:p>
    <w:p>
      <w:pPr>
        <w:pStyle w:val="BodyText"/>
      </w:pPr>
      <w:r>
        <w:t xml:space="preserve">The convergence is clear: even organizations that developed training-time alignment now invest in runtime monitoring. The question is no longer whether runtime governance is necessary, but who builds the infrastructure and under what principles.</w:t>
      </w:r>
    </w:p>
    <w:p>
      <w:pPr>
        <w:pStyle w:val="BodyText"/>
      </w:pPr>
      <w:r>
        <w:t xml:space="preserve">Source: Amodei, D. (2026).</w:t>
      </w:r>
      <w:r>
        <w:t xml:space="preserve"> </w:t>
      </w:r>
      <w:r>
        <w:t xml:space="preserve">“The Adolescence of Technology: Confronting and Overcoming the Risks of Powerful AI.”</w:t>
      </w:r>
      <w:r>
        <w:t xml:space="preserve"> </w:t>
      </w:r>
      <w:r>
        <w:t xml:space="preserve">https://www.darioamodei.com/essay/the-adolescence-of-technology</w:t>
      </w:r>
    </w:p>
    <w:bookmarkEnd w:id="21"/>
    <w:bookmarkStart w:id="22" w:name="what-we-are-building"/>
    <w:p>
      <w:pPr>
        <w:pStyle w:val="Heading3"/>
      </w:pPr>
      <w:r>
        <w:t xml:space="preserve">1.6 What We Are Building</w:t>
      </w:r>
    </w:p>
    <w:p>
      <w:pPr>
        <w:pStyle w:val="FirstParagraph"/>
      </w:pPr>
      <w:r>
        <w:t xml:space="preserve">TELOS provides the infrastructure for observable demonstrable due diligence:</w:t>
      </w:r>
    </w:p>
    <w:p>
      <w:pPr>
        <w:pStyle w:val="BodyText"/>
      </w:pPr>
      <w:r>
        <w:t xml:space="preserve">Observable: Every turn generates measurable fidelity scores, drift vectors, stability metrics, quantitative proof of governance state.</w:t>
      </w:r>
    </w:p>
    <w:p>
      <w:pPr>
        <w:pStyle w:val="BodyText"/>
      </w:pPr>
      <w:r>
        <w:t xml:space="preserve">Demonstrable: Telemetry creates an audit trail that shows what constraints were set, when drift happened, what interventions were taken, and whether adherence improved.</w:t>
      </w:r>
    </w:p>
    <w:p>
      <w:pPr>
        <w:pStyle w:val="BodyText"/>
      </w:pPr>
      <w:r>
        <w:t xml:space="preserve">Due Diligence: The system actively works to maintain alignment instead of just assuming it exists, and it generates evidence of this work.</w:t>
      </w:r>
    </w:p>
    <w:p>
      <w:pPr>
        <w:pStyle w:val="BodyText"/>
      </w:pPr>
      <w:r>
        <w:t xml:space="preserve">We do not claim this completely solves AI governance. We claim it makes governance measurable where it was once a goal, correctable where it was once based on hope, and auditable where it was once unclear.</w:t>
      </w:r>
    </w:p>
    <w:p>
      <w:pPr>
        <w:pStyle w:val="BodyText"/>
      </w:pPr>
      <w:r>
        <w:t xml:space="preserve">The following sections explain the mathematical framework that makes this possible, the implementation that makes it practical, and the validation framework that will determine if it works.</w:t>
      </w:r>
    </w:p>
    <w:bookmarkEnd w:id="22"/>
    <w:bookmarkStart w:id="23" w:name="detection-driven-governance"/>
    <w:p>
      <w:pPr>
        <w:pStyle w:val="Heading3"/>
      </w:pPr>
      <w:r>
        <w:t xml:space="preserve">1.6.1 Detection-Driven Governance</w:t>
      </w:r>
    </w:p>
    <w:p>
      <w:pPr>
        <w:pStyle w:val="FirstParagraph"/>
      </w:pPr>
      <w:r>
        <w:t xml:space="preserve">TELOS operates fundamentally as a detection system. Quality Control for AI.</w:t>
      </w:r>
    </w:p>
    <w:p>
      <w:pPr>
        <w:pStyle w:val="BodyText"/>
      </w:pPr>
      <w:r>
        <w:t xml:space="preserve">We do not claim to prevent all harmful outputs. We claim to detect drift reliably and escalate appropriately. Prevention is a byproduct of detection. When the system detects reliably, escalation occurs appropriately, and prevention graduates with it. The entire lifecycle remains transparent and auditable.</w:t>
      </w:r>
    </w:p>
    <w:p>
      <w:pPr>
        <w:pStyle w:val="BodyText"/>
      </w:pPr>
      <w:r>
        <w:t xml:space="preserve">Our goal has been and will continue to be refining and fine-tuning detection so that prevention and safety emerge as natural byproducts through proper graduated response mechanisms.</w:t>
      </w:r>
    </w:p>
    <w:p>
      <w:pPr>
        <w:pStyle w:val="BodyText"/>
      </w:pPr>
      <w:r>
        <w:rPr>
          <w:b/>
          <w:bCs/>
        </w:rPr>
        <w:t xml:space="preserve">The Governance Triad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Role</w:t>
            </w:r>
          </w:p>
        </w:tc>
        <w:tc>
          <w:tcPr/>
          <w:p>
            <w:pPr>
              <w:pStyle w:val="Compact"/>
            </w:pPr>
            <w:r>
              <w:t xml:space="preserve">Purpose</w:t>
            </w:r>
          </w:p>
        </w:tc>
      </w:tr>
      <w:tr>
        <w:tc>
          <w:tcPr/>
          <w:p>
            <w:pPr>
              <w:pStyle w:val="Compact"/>
            </w:pPr>
            <w:r>
              <w:t xml:space="preserve">Detection</w:t>
            </w:r>
          </w:p>
        </w:tc>
        <w:tc>
          <w:tcPr/>
          <w:p>
            <w:pPr>
              <w:pStyle w:val="Compact"/>
            </w:pPr>
            <w:r>
              <w:t xml:space="preserve">The Mechanism</w:t>
            </w:r>
          </w:p>
        </w:tc>
        <w:tc>
          <w:tcPr/>
          <w:p>
            <w:pPr>
              <w:pStyle w:val="Compact"/>
            </w:pPr>
            <w:r>
              <w:t xml:space="preserve">Continuous drift measurement</w:t>
            </w:r>
          </w:p>
        </w:tc>
      </w:tr>
      <w:tr>
        <w:tc>
          <w:tcPr/>
          <w:p>
            <w:pPr>
              <w:pStyle w:val="Compact"/>
            </w:pPr>
            <w:r>
              <w:t xml:space="preserve">Prevention</w:t>
            </w:r>
          </w:p>
        </w:tc>
        <w:tc>
          <w:tcPr/>
          <w:p>
            <w:pPr>
              <w:pStyle w:val="Compact"/>
            </w:pPr>
            <w:r>
              <w:t xml:space="preserve">The Outcome</w:t>
            </w:r>
          </w:p>
        </w:tc>
        <w:tc>
          <w:tcPr/>
          <w:p>
            <w:pPr>
              <w:pStyle w:val="Compact"/>
            </w:pPr>
            <w:r>
              <w:t xml:space="preserve">Graduated intervention</w:t>
            </w:r>
          </w:p>
        </w:tc>
      </w:tr>
      <w:tr>
        <w:tc>
          <w:tcPr/>
          <w:p>
            <w:pPr>
              <w:pStyle w:val="Compact"/>
            </w:pPr>
            <w:r>
              <w:t xml:space="preserve">Auditability</w:t>
            </w:r>
          </w:p>
        </w:tc>
        <w:tc>
          <w:tcPr/>
          <w:p>
            <w:pPr>
              <w:pStyle w:val="Compact"/>
            </w:pPr>
            <w:r>
              <w:t xml:space="preserve">The Proof</w:t>
            </w:r>
          </w:p>
        </w:tc>
        <w:tc>
          <w:tcPr/>
          <w:p>
            <w:pPr>
              <w:pStyle w:val="Compact"/>
            </w:pPr>
            <w:r>
              <w:t xml:space="preserve">Immutable audit trails</w:t>
            </w:r>
          </w:p>
        </w:tc>
      </w:tr>
    </w:tbl>
    <w:p>
      <w:pPr>
        <w:pStyle w:val="BodyText"/>
      </w:pPr>
      <w:r>
        <w:t xml:space="preserve">The causal chain: Detection (what we measure) leads to Prevention (byproduct) leads to Safety (outcome through proportional control).</w:t>
      </w:r>
    </w:p>
    <w:p>
      <w:pPr>
        <w:pStyle w:val="BodyText"/>
      </w:pPr>
      <w:r>
        <w:t xml:space="preserve">Detection fidelity determines intervention timing, which determines control proportionality.</w:t>
      </w:r>
    </w:p>
    <w:p>
      <w:pPr>
        <w:pStyle w:val="BodyText"/>
      </w:pPr>
      <w:r>
        <w:rPr>
          <w:b/>
          <w:bCs/>
        </w:rPr>
        <w:t xml:space="preserve">Understanding Our Validation Results</w:t>
      </w:r>
    </w:p>
    <w:p>
      <w:pPr>
        <w:pStyle w:val="BodyText"/>
      </w:pPr>
      <w:r>
        <w:t xml:space="preserve">Standard adversarial benchmarks like AILuminate, MedSafetyBench, and XSTest were designed to test binary systems: block or allow. That is essentially all that exists in the field. When researchers run these tests, they are asking one question: Did the system prevent this harmful query?</w:t>
      </w:r>
    </w:p>
    <w:p>
      <w:pPr>
        <w:pStyle w:val="BodyText"/>
      </w:pPr>
      <w:r>
        <w:t xml:space="preserve">TELOS does not operate in that paradigm. We introduce detection and escalation through proportional control mechanisms into an equation where they formerly did not exist.</w:t>
      </w:r>
    </w:p>
    <w:p>
      <w:pPr>
        <w:pStyle w:val="BodyText"/>
      </w:pPr>
      <w:r>
        <w:t xml:space="preserve">When TELOS achieves 0% adversarial success rate on these benchmarks, we are not claiming the same thing a binary system would claim. We are saying:</w:t>
      </w:r>
    </w:p>
    <w:p>
      <w:pPr>
        <w:pStyle w:val="Compact"/>
        <w:numPr>
          <w:ilvl w:val="0"/>
          <w:numId w:val="1003"/>
        </w:numPr>
      </w:pPr>
      <w:r>
        <w:t xml:space="preserve">Every attack triggered detection</w:t>
      </w:r>
    </w:p>
    <w:p>
      <w:pPr>
        <w:pStyle w:val="Compact"/>
        <w:numPr>
          <w:ilvl w:val="0"/>
          <w:numId w:val="1003"/>
        </w:numPr>
      </w:pPr>
      <w:r>
        <w:t xml:space="preserve">Detection initiated proportional escalation</w:t>
      </w:r>
    </w:p>
    <w:p>
      <w:pPr>
        <w:pStyle w:val="Compact"/>
        <w:numPr>
          <w:ilvl w:val="0"/>
          <w:numId w:val="1003"/>
        </w:numPr>
      </w:pPr>
      <w:r>
        <w:t xml:space="preserve">Escalation engaged graduated intervention</w:t>
      </w:r>
    </w:p>
    <w:p>
      <w:pPr>
        <w:pStyle w:val="Compact"/>
        <w:numPr>
          <w:ilvl w:val="0"/>
          <w:numId w:val="1003"/>
        </w:numPr>
      </w:pPr>
      <w:r>
        <w:t xml:space="preserve">The three-tier defense (baseline normalization, basin membership, human review) caught what binary systems try to catch with a single gate</w:t>
      </w:r>
    </w:p>
    <w:p>
      <w:pPr>
        <w:pStyle w:val="FirstParagraph"/>
      </w:pPr>
      <w:r>
        <w:t xml:space="preserve">The 0% is not</w:t>
      </w:r>
      <w:r>
        <w:t xml:space="preserve"> </w:t>
      </w:r>
      <w:r>
        <w:t xml:space="preserve">“we blocked everything.”</w:t>
      </w:r>
      <w:r>
        <w:t xml:space="preserve"> </w:t>
      </w:r>
      <w:r>
        <w:t xml:space="preserve">It is</w:t>
      </w:r>
      <w:r>
        <w:t xml:space="preserve"> </w:t>
      </w:r>
      <w:r>
        <w:t xml:space="preserve">“nothing proceeded without triggering the governance response chain.”</w:t>
      </w:r>
      <w:r>
        <w:t xml:space="preserve"> </w:t>
      </w:r>
      <w:r>
        <w:t xml:space="preserve">TELOS preserves the ability to block when necessary. Blocking is the graduated endpoint of detection, not the only tool.</w:t>
      </w:r>
    </w:p>
    <w:bookmarkEnd w:id="23"/>
    <w:bookmarkEnd w:id="24"/>
    <w:bookmarkStart w:id="25" w:name="X88d23c6e200786ada5efd6dc1807dc2347b8cbf"/>
    <w:p>
      <w:pPr>
        <w:pStyle w:val="Heading2"/>
      </w:pPr>
      <w:r>
        <w:t xml:space="preserve">Bridge: From Systems Thinking to Mathematical Formalism</w:t>
      </w:r>
    </w:p>
    <w:p>
      <w:pPr>
        <w:pStyle w:val="FirstParagraph"/>
      </w:pPr>
      <w:r>
        <w:t xml:space="preserve">The integration of process control within TELOS comes directly from careful systems analysis. When semantic drift is defined as a measurable deviation from a defined purpose vector, its mathematical structure maps directly to process variation within tolerance limits.</w:t>
      </w:r>
    </w:p>
    <w:p>
      <w:pPr>
        <w:pStyle w:val="BodyText"/>
      </w:pPr>
      <w:r>
        <w:t xml:space="preserve">TELOS extends established control principles, measurement, proportional correction, and continuous recalibration, into semantic space. Purpose adherence in language systems shows the same measurable dynamics as quality stability in physical processes.</w:t>
      </w:r>
    </w:p>
    <w:p>
      <w:pPr>
        <w:pStyle w:val="BodyText"/>
      </w:pPr>
      <w:r>
        <w:t xml:space="preserve">The framework combines proportional control (operational mechanism) and attractor dynamics (mathematical description) into a unified approach for semantic governance. These are not competing frameworks but two forms of the same mathematics: the control law applies operational correction while basin geometry describes the resulting stable region.</w:t>
      </w:r>
    </w:p>
    <w:bookmarkEnd w:id="25"/>
    <w:bookmarkStart w:id="50" w:name="X8e60828f6ea028856b475adea7852c85914cd25"/>
    <w:p>
      <w:pPr>
        <w:pStyle w:val="Heading2"/>
      </w:pPr>
      <w:r>
        <w:t xml:space="preserve">2. Quality Control Architecture: Proportional Control and Attractor Dynamics</w:t>
      </w:r>
    </w:p>
    <w:bookmarkStart w:id="29" w:name="Xba3766a929795e409649c6e429350b80b833e65"/>
    <w:p>
      <w:pPr>
        <w:pStyle w:val="Heading3"/>
      </w:pPr>
      <w:r>
        <w:t xml:space="preserve">2.1 Core Insight: Runtime Constitutional Governance as Measurable Process</w:t>
      </w:r>
    </w:p>
    <w:p>
      <w:pPr>
        <w:pStyle w:val="CaptionedFigure"/>
      </w:pPr>
      <w:r>
        <w:drawing>
          <wp:inline>
            <wp:extent cx="4940300" cy="3327400"/>
            <wp:effectExtent b="0" l="0" r="0" t="0"/>
            <wp:docPr descr="Figure 2: Primacy Attractor basin geometry in embedding space. The PA serves as a stable equilibrium point, with the basin radius determining the tolerance for semantic drift." title="" id="27" name="Picture"/>
            <a:graphic>
              <a:graphicData uri="http://schemas.openxmlformats.org/drawingml/2006/picture">
                <pic:pic>
                  <pic:nvPicPr>
                    <pic:cNvPr descr="diagrams/fig2_primacy_attractor.pdf" id="28" name="Picture"/>
                    <pic:cNvPicPr>
                      <a:picLocks noChangeArrowheads="1" noChangeAspect="1"/>
                    </pic:cNvPicPr>
                  </pic:nvPicPr>
                  <pic:blipFill>
                    <a:blip r:embed="rId26"/>
                    <a:stretch>
                      <a:fillRect/>
                    </a:stretch>
                  </pic:blipFill>
                  <pic:spPr bwMode="auto">
                    <a:xfrm>
                      <a:off x="0" y="0"/>
                      <a:ext cx="4940300" cy="3327400"/>
                    </a:xfrm>
                    <a:prstGeom prst="rect">
                      <a:avLst/>
                    </a:prstGeom>
                    <a:noFill/>
                    <a:ln w="9525">
                      <a:noFill/>
                      <a:headEnd/>
                      <a:tailEnd/>
                    </a:ln>
                  </pic:spPr>
                </pic:pic>
              </a:graphicData>
            </a:graphic>
          </wp:inline>
        </w:drawing>
      </w:r>
    </w:p>
    <w:p>
      <w:pPr>
        <w:pStyle w:val="ImageCaption"/>
      </w:pPr>
      <w:r>
        <w:t xml:space="preserve">Figure 2: Primacy Attractor basin geometry in embedding space. The PA serves as a stable equilibrium point, with the basin radius determining the tolerance for semantic drift.</w:t>
      </w:r>
    </w:p>
    <w:p>
      <w:pPr>
        <w:pStyle w:val="BodyText"/>
      </w:pPr>
      <w:r>
        <w:t xml:space="preserve">TELOS views alignment as a measurable position in embedding space subject to continuous process control through orchestration-layer governance, not just a qualitative property.</w:t>
      </w:r>
    </w:p>
    <w:p>
      <w:pPr>
        <w:pStyle w:val="BodyText"/>
      </w:pPr>
      <w:r>
        <w:t xml:space="preserve">When a user declares constitutional requirements for a session:</w:t>
      </w:r>
      <w:r>
        <w:t xml:space="preserve"> </w:t>
      </w:r>
      <w:r>
        <w:t xml:space="preserve">- Purpose:</w:t>
      </w:r>
      <w:r>
        <w:t xml:space="preserve"> </w:t>
      </w:r>
      <w:r>
        <w:t xml:space="preserve">“Help me structure a technical paper.”</w:t>
      </w:r>
      <w:r>
        <w:t xml:space="preserve"> </w:t>
      </w:r>
      <w:r>
        <w:t xml:space="preserve">- Scope:</w:t>
      </w:r>
      <w:r>
        <w:t xml:space="preserve"> </w:t>
      </w:r>
      <w:r>
        <w:t xml:space="preserve">“Guide my thinking, don’t write content.”</w:t>
      </w:r>
      <w:r>
        <w:t xml:space="preserve"> </w:t>
      </w:r>
      <w:r>
        <w:t xml:space="preserve">- Boundaries:</w:t>
      </w:r>
      <w:r>
        <w:t xml:space="preserve"> </w:t>
      </w:r>
      <w:r>
        <w:t xml:space="preserve">“No drafting full paragraphs.”</w:t>
      </w:r>
    </w:p>
    <w:p>
      <w:pPr>
        <w:pStyle w:val="BodyText"/>
      </w:pPr>
      <w:r>
        <w:t xml:space="preserve">These declarations become embeddings, vectors in</w:t>
      </w:r>
      <w:r>
        <w:t xml:space="preserve"> </w:t>
      </w:r>
      <m:oMath>
        <m:sSup>
          <m:e>
            <m:r>
              <m:rPr>
                <m:scr m:val="double-struck"/>
                <m:sty m:val="p"/>
              </m:rPr>
              <m:t>R</m:t>
            </m:r>
          </m:e>
          <m:sup>
            <m:r>
              <m:t>d</m:t>
            </m:r>
          </m:sup>
        </m:sSup>
      </m:oMath>
      <w:r>
        <w:t xml:space="preserve"> </w:t>
      </w:r>
      <w:r>
        <w:t xml:space="preserve">using standard sentence transformers (Reimers &amp; Gurevych, 2019). These vectors define the Primacy Attractor: instantiated constitutional law for the temporary session state. The PA serves as a constant constitutional reference against which all subsequent outputs are measured for compliance.</w:t>
      </w:r>
    </w:p>
    <w:p>
      <w:pPr>
        <w:pStyle w:val="BodyText"/>
      </w:pPr>
      <w:r>
        <w:t xml:space="preserve">Every model response gets embedded. Its distance from the constitutional reference (PA) quantifies constitutional drift. Its direction shows how it violates declared constraints.</w:t>
      </w:r>
    </w:p>
    <w:p>
      <w:pPr>
        <w:pStyle w:val="BodyText"/>
      </w:pPr>
      <w:r>
        <w:t xml:space="preserve">These measurements allow for proportional intervention through architectural governance: minor constitutional drift receives gentle correction, while severe violations trigger immediate blocking, all functioning at the orchestration layer above the model.</w:t>
      </w:r>
    </w:p>
    <w:p>
      <w:pPr>
        <w:pStyle w:val="BodyText"/>
      </w:pPr>
      <w:r>
        <w:t xml:space="preserve">This shifts governance from subjective judgment (</w:t>
      </w:r>
      <w:r>
        <w:t xml:space="preserve">“does this feel aligned?”</w:t>
      </w:r>
      <w:r>
        <w:t xml:space="preserve">) to quantitative constitutional compliance measurement (</w:t>
      </w:r>
      <w:r>
        <w:t xml:space="preserve">“fidelity = 0.73, below constitutional threshold, intervention required”</w:t>
      </w:r>
      <w:r>
        <w:t xml:space="preserve">).</w:t>
      </w:r>
    </w:p>
    <w:bookmarkEnd w:id="29"/>
    <w:bookmarkStart w:id="33" w:name="X282884a0fa96a091316207c0a75a45d74fd99e8"/>
    <w:p>
      <w:pPr>
        <w:pStyle w:val="Heading3"/>
      </w:pPr>
      <w:r>
        <w:t xml:space="preserve">2.2 Mathematical Foundations: Proportional Control Law and Stability</w:t>
      </w:r>
    </w:p>
    <w:p>
      <w:pPr>
        <w:pStyle w:val="CaptionedFigure"/>
      </w:pPr>
      <w:r>
        <w:drawing>
          <wp:inline>
            <wp:extent cx="3479800" cy="3898900"/>
            <wp:effectExtent b="0" l="0" r="0" t="0"/>
            <wp:docPr descr="Figure 3: Two-Layer Fidelity Architecture. Layer 1 provides baseline normalization to catch extreme off-topic content, while Layer 2 measures basin membership for purpose drift detection." title="" id="31" name="Picture"/>
            <a:graphic>
              <a:graphicData uri="http://schemas.openxmlformats.org/drawingml/2006/picture">
                <pic:pic>
                  <pic:nvPicPr>
                    <pic:cNvPr descr="diagrams/fig3_fidelity_pipeline.pdf" id="32" name="Picture"/>
                    <pic:cNvPicPr>
                      <a:picLocks noChangeArrowheads="1" noChangeAspect="1"/>
                    </pic:cNvPicPr>
                  </pic:nvPicPr>
                  <pic:blipFill>
                    <a:blip r:embed="rId30"/>
                    <a:stretch>
                      <a:fillRect/>
                    </a:stretch>
                  </pic:blipFill>
                  <pic:spPr bwMode="auto">
                    <a:xfrm>
                      <a:off x="0" y="0"/>
                      <a:ext cx="3479800" cy="3898900"/>
                    </a:xfrm>
                    <a:prstGeom prst="rect">
                      <a:avLst/>
                    </a:prstGeom>
                    <a:noFill/>
                    <a:ln w="9525">
                      <a:noFill/>
                      <a:headEnd/>
                      <a:tailEnd/>
                    </a:ln>
                  </pic:spPr>
                </pic:pic>
              </a:graphicData>
            </a:graphic>
          </wp:inline>
        </w:drawing>
      </w:r>
    </w:p>
    <w:p>
      <w:pPr>
        <w:pStyle w:val="ImageCaption"/>
      </w:pPr>
      <w:r>
        <w:t xml:space="preserve">Figure 3: Two-Layer Fidelity Architecture. Layer 1 provides baseline normalization to catch extreme off-topic content, while Layer 2 measures basin membership for purpose drift detection.</w:t>
      </w:r>
    </w:p>
    <w:p>
      <w:pPr>
        <w:pStyle w:val="BodyText"/>
      </w:pPr>
      <w:r>
        <w:t xml:space="preserve">In this setup, the proportional control law defines the correction mechanism:</w:t>
      </w:r>
    </w:p>
    <w:p>
      <w:pPr>
        <w:pStyle w:val="BodyText"/>
      </w:pPr>
      <m:oMathPara>
        <m:oMathParaPr>
          <m:jc m:val="center"/>
        </m:oMathParaPr>
        <m:oMath>
          <m:r>
            <m:t>F</m:t>
          </m:r>
          <m:r>
            <m:rPr>
              <m:sty m:val="p"/>
            </m:rPr>
            <m:t>=</m:t>
          </m:r>
          <m:r>
            <m:t>K</m:t>
          </m:r>
          <m:r>
            <m:rPr>
              <m:sty m:val="p"/>
            </m:rPr>
            <m:t>⋅</m:t>
          </m:r>
          <m:r>
            <m:t>e</m:t>
          </m:r>
          <m:r>
            <m:rPr>
              <m:sty m:val="p"/>
            </m:rPr>
            <m:t>,</m:t>
          </m:r>
          <m:r>
            <m:t> </m:t>
          </m:r>
          <m:r>
            <m:rPr>
              <m:nor/>
              <m:sty m:val="p"/>
            </m:rPr>
            <m:t>where</m:t>
          </m:r>
          <m:r>
            <m:t> </m:t>
          </m:r>
          <m:r>
            <m:t>e</m:t>
          </m:r>
          <m:r>
            <m:rPr>
              <m:sty m:val="p"/>
            </m:rPr>
            <m:t>=</m:t>
          </m:r>
          <m:f>
            <m:fPr>
              <m:type m:val="bar"/>
            </m:fPr>
            <m:num>
              <m:r>
                <m:rPr>
                  <m:sty m:val="p"/>
                </m:rPr>
                <m:t>|</m:t>
              </m:r>
              <m:r>
                <m:t>x</m:t>
              </m:r>
              <m:r>
                <m:rPr>
                  <m:sty m:val="p"/>
                </m:rPr>
                <m:t>−</m:t>
              </m:r>
              <m:acc>
                <m:accPr>
                  <m:chr m:val="̂"/>
                </m:accPr>
                <m:e>
                  <m:r>
                    <m:t>a</m:t>
                  </m:r>
                </m:e>
              </m:acc>
              <m:r>
                <m:rPr>
                  <m:sty m:val="p"/>
                </m:rPr>
                <m:t>|</m:t>
              </m:r>
            </m:num>
            <m:den>
              <m:r>
                <m:t>r</m:t>
              </m:r>
            </m:den>
          </m:f>
        </m:oMath>
      </m:oMathPara>
    </w:p>
    <w:p>
      <w:pPr>
        <w:pStyle w:val="FirstParagraph"/>
      </w:pPr>
      <w:r>
        <w:t xml:space="preserve">Here</w:t>
      </w:r>
      <w:r>
        <w:t xml:space="preserve"> </w:t>
      </w:r>
      <m:oMath>
        <m:r>
          <m:t>x</m:t>
        </m:r>
      </m:oMath>
      <w:r>
        <w:t xml:space="preserve"> </w:t>
      </w:r>
      <w:r>
        <w:t xml:space="preserve">represents the current semantic state (response embedding),</w:t>
      </w:r>
      <w:r>
        <w:t xml:space="preserve"> </w:t>
      </w:r>
      <m:oMath>
        <m:acc>
          <m:accPr>
            <m:chr m:val="̂"/>
          </m:accPr>
          <m:e>
            <m:r>
              <m:t>a</m:t>
            </m:r>
          </m:e>
        </m:acc>
      </m:oMath>
      <w:r>
        <w:t xml:space="preserve"> </w:t>
      </w:r>
      <w:r>
        <w:t xml:space="preserve">is the Primacy Attractor, instantiated constitutional law formed from human-authored constitutional requirements (purpose, scope, boundaries), and</w:t>
      </w:r>
      <w:r>
        <w:t xml:space="preserve"> </w:t>
      </w:r>
      <m:oMath>
        <m:r>
          <m:t>r</m:t>
        </m:r>
      </m:oMath>
      <w:r>
        <w:t xml:space="preserve"> </w:t>
      </w:r>
      <w:r>
        <w:t xml:space="preserve">is the tolerance radius defining the Primacy Basin (constitutional compliance boundary).</w:t>
      </w:r>
    </w:p>
    <w:p>
      <w:pPr>
        <w:pStyle w:val="BodyText"/>
      </w:pPr>
      <w:r>
        <w:t xml:space="preserve">The scalar</w:t>
      </w:r>
      <w:r>
        <w:t xml:space="preserve"> </w:t>
      </w:r>
      <m:oMath>
        <m:r>
          <m:t>e</m:t>
        </m:r>
      </m:oMath>
      <w:r>
        <w:t xml:space="preserve"> </w:t>
      </w:r>
      <w:r>
        <w:t xml:space="preserve">shows normalized deviation from constitutional requirements, and</w:t>
      </w:r>
      <w:r>
        <w:t xml:space="preserve"> </w:t>
      </w:r>
      <m:oMath>
        <m:r>
          <m:t>K</m:t>
        </m:r>
      </m:oMath>
      <w:r>
        <w:t xml:space="preserve"> </w:t>
      </w:r>
      <w:r>
        <w:t xml:space="preserve">is the proportional gain governing correction strength.</w:t>
      </w:r>
    </w:p>
    <w:p>
      <w:pPr>
        <w:pStyle w:val="BodyText"/>
      </w:pPr>
      <w:r>
        <w:t xml:space="preserve">The law operates continuously as part of a closed feedback loop: each output is measured, deviation quantified, and corrective force</w:t>
      </w:r>
      <w:r>
        <w:t xml:space="preserve"> </w:t>
      </w:r>
      <m:oMath>
        <m:r>
          <m:t>F</m:t>
        </m:r>
      </m:oMath>
      <w:r>
        <w:t xml:space="preserve"> </w:t>
      </w:r>
      <w:r>
        <w:t xml:space="preserve">applied based on drift magnitude. When</w:t>
      </w:r>
      <w:r>
        <w:t xml:space="preserve"> </w:t>
      </w:r>
      <m:oMath>
        <m:r>
          <m:t>e</m:t>
        </m:r>
        <m:r>
          <m:rPr>
            <m:sty m:val="p"/>
          </m:rPr>
          <m:t>&lt;</m:t>
        </m:r>
        <m:sSub>
          <m:e>
            <m:r>
              <m:t>ϵ</m:t>
            </m:r>
          </m:e>
          <m:sub>
            <m:r>
              <m:rPr>
                <m:nor/>
                <m:sty m:val="p"/>
              </m:rPr>
              <m:t>min</m:t>
            </m:r>
          </m:sub>
        </m:sSub>
      </m:oMath>
      <w:r>
        <w:t xml:space="preserve">, the system remains stable with no intervention; as</w:t>
      </w:r>
      <w:r>
        <w:t xml:space="preserve"> </w:t>
      </w:r>
      <m:oMath>
        <m:r>
          <m:t>e</m:t>
        </m:r>
      </m:oMath>
      <w:r>
        <w:t xml:space="preserve"> </w:t>
      </w:r>
      <w:r>
        <w:t xml:space="preserve">approaches</w:t>
      </w:r>
      <w:r>
        <w:t xml:space="preserve"> </w:t>
      </w:r>
      <m:oMath>
        <m:sSub>
          <m:e>
            <m:r>
              <m:t>ϵ</m:t>
            </m:r>
          </m:e>
          <m:sub>
            <m:r>
              <m:rPr>
                <m:nor/>
                <m:sty m:val="p"/>
              </m:rPr>
              <m:t>max</m:t>
            </m:r>
          </m:sub>
        </m:sSub>
      </m:oMath>
      <w:r>
        <w:t xml:space="preserve">, corrective action scales accordingly, from gentle reminders to full response regeneration.</w:t>
      </w:r>
    </w:p>
    <w:p>
      <w:pPr>
        <w:pStyle w:val="BodyText"/>
      </w:pPr>
      <w:r>
        <w:t xml:space="preserve">This dynamic sets a point attractor at</w:t>
      </w:r>
      <w:r>
        <w:t xml:space="preserve"> </w:t>
      </w:r>
      <m:oMath>
        <m:acc>
          <m:accPr>
            <m:chr m:val="̂"/>
          </m:accPr>
          <m:e>
            <m:r>
              <m:t>a</m:t>
            </m:r>
          </m:e>
        </m:acc>
      </m:oMath>
      <w:r>
        <w:t xml:space="preserve"> </w:t>
      </w:r>
      <w:r>
        <w:t xml:space="preserve">with basin:</w:t>
      </w:r>
    </w:p>
    <w:p>
      <w:pPr>
        <w:pStyle w:val="BodyText"/>
      </w:pPr>
      <m:oMathPara>
        <m:oMathParaPr>
          <m:jc m:val="center"/>
        </m:oMathParaPr>
        <m:oMath>
          <m:r>
            <m:t>B</m:t>
          </m:r>
          <m:r>
            <m:rPr>
              <m:sty m:val="p"/>
            </m:rPr>
            <m:t>(</m:t>
          </m:r>
          <m:acc>
            <m:accPr>
              <m:chr m:val="̂"/>
            </m:accPr>
            <m:e>
              <m:r>
                <m:t>a</m:t>
              </m:r>
            </m:e>
          </m:acc>
          <m:r>
            <m:rPr>
              <m:sty m:val="p"/>
            </m:rPr>
            <m:t>,</m:t>
          </m:r>
          <m:r>
            <m:t>r</m:t>
          </m:r>
          <m:r>
            <m:rPr>
              <m:sty m:val="p"/>
            </m:rPr>
            <m:t>)</m:t>
          </m:r>
          <m:r>
            <m:rPr>
              <m:sty m:val="p"/>
            </m:rPr>
            <m:t>=</m:t>
          </m:r>
          <m:r>
            <m:rPr>
              <m:sty m:val="p"/>
            </m:rPr>
            <m:t>{</m:t>
          </m:r>
          <m:r>
            <m:t>x</m:t>
          </m:r>
          <m:r>
            <m:rPr>
              <m:sty m:val="p"/>
            </m:rPr>
            <m:t>∈</m:t>
          </m:r>
          <m:sSup>
            <m:e>
              <m:r>
                <m:rPr>
                  <m:scr m:val="double-struck"/>
                  <m:sty m:val="p"/>
                </m:rPr>
                <m:t>R</m:t>
              </m:r>
            </m:e>
            <m:sup>
              <m:r>
                <m:t>d</m:t>
              </m:r>
            </m:sup>
          </m:sSup>
          <m:r>
            <m:rPr>
              <m:sty m:val="p"/>
            </m:rPr>
            <m:t>:</m:t>
          </m:r>
          <m:r>
            <m:rPr>
              <m:sty m:val="p"/>
            </m:rPr>
            <m:t>|</m:t>
          </m:r>
          <m:r>
            <m:t>x</m:t>
          </m:r>
          <m:r>
            <m:rPr>
              <m:sty m:val="p"/>
            </m:rPr>
            <m:t>−</m:t>
          </m:r>
          <m:acc>
            <m:accPr>
              <m:chr m:val="̂"/>
            </m:accPr>
            <m:e>
              <m:r>
                <m:t>a</m:t>
              </m:r>
            </m:e>
          </m:acc>
          <m:r>
            <m:rPr>
              <m:sty m:val="p"/>
            </m:rPr>
            <m:t>|</m:t>
          </m:r>
          <m:r>
            <m:rPr>
              <m:sty m:val="p"/>
            </m:rPr>
            <m:t>≤</m:t>
          </m:r>
          <m:r>
            <m:t>r</m:t>
          </m:r>
          <m:r>
            <m:rPr>
              <m:sty m:val="p"/>
            </m:rPr>
            <m:t>}</m:t>
          </m:r>
        </m:oMath>
      </m:oMathPara>
    </w:p>
    <w:p>
      <w:pPr>
        <w:pStyle w:val="FirstParagraph"/>
      </w:pPr>
      <w:r>
        <w:t xml:space="preserve">The basin radius is calculated as:</w:t>
      </w:r>
    </w:p>
    <w:p>
      <w:pPr>
        <w:pStyle w:val="BodyText"/>
      </w:pPr>
      <m:oMathPara>
        <m:oMathParaPr>
          <m:jc m:val="center"/>
        </m:oMathParaPr>
        <m:oMath>
          <m:r>
            <m:t>r</m:t>
          </m:r>
          <m:r>
            <m:rPr>
              <m:sty m:val="p"/>
            </m:rPr>
            <m:t>=</m:t>
          </m:r>
          <m:f>
            <m:fPr>
              <m:type m:val="bar"/>
            </m:fPr>
            <m:num>
              <m:r>
                <m:t>2</m:t>
              </m:r>
            </m:num>
            <m:den>
              <m:r>
                <m:rPr>
                  <m:sty m:val="p"/>
                </m:rPr>
                <m:t>max</m:t>
              </m:r>
              <m:r>
                <m:rPr>
                  <m:sty m:val="p"/>
                </m:rPr>
                <m:t>(</m:t>
              </m:r>
              <m:r>
                <m:t>ρ</m:t>
              </m:r>
              <m:r>
                <m:rPr>
                  <m:sty m:val="p"/>
                </m:rPr>
                <m:t>,</m:t>
              </m:r>
              <m:r>
                <m:t>0.25</m:t>
              </m:r>
              <m:r>
                <m:rPr>
                  <m:sty m:val="p"/>
                </m:rPr>
                <m:t>)</m:t>
              </m:r>
            </m:den>
          </m:f>
          <m:r>
            <m:t> </m:t>
          </m:r>
          <m:r>
            <m:rPr>
              <m:nor/>
              <m:sty m:val="p"/>
            </m:rPr>
            <m:t>where</m:t>
          </m:r>
          <m:r>
            <m:t> </m:t>
          </m:r>
          <m:r>
            <m:t>ρ</m:t>
          </m:r>
          <m:r>
            <m:rPr>
              <m:sty m:val="p"/>
            </m:rPr>
            <m:t>=</m:t>
          </m:r>
          <m:r>
            <m:t>1</m:t>
          </m:r>
          <m:r>
            <m:rPr>
              <m:sty m:val="p"/>
            </m:rPr>
            <m:t>−</m:t>
          </m:r>
          <m:r>
            <m:t>τ</m:t>
          </m:r>
        </m:oMath>
      </m:oMathPara>
    </w:p>
    <w:p>
      <w:pPr>
        <w:pStyle w:val="FirstParagraph"/>
      </w:pPr>
      <w:r>
        <w:t xml:space="preserve">where</w:t>
      </w:r>
      <w:r>
        <w:t xml:space="preserve"> </w:t>
      </w:r>
      <m:oMath>
        <m:r>
          <m:t>τ</m:t>
        </m:r>
        <m:r>
          <m:rPr>
            <m:sty m:val="p"/>
          </m:rPr>
          <m:t>∈</m:t>
        </m:r>
        <m:r>
          <m:rPr>
            <m:sty m:val="p"/>
          </m:rPr>
          <m:t>[</m:t>
        </m:r>
        <m:r>
          <m:t>0</m:t>
        </m:r>
        <m:r>
          <m:rPr>
            <m:sty m:val="p"/>
          </m:rPr>
          <m:t>,</m:t>
        </m:r>
        <m:r>
          <m:t>1</m:t>
        </m:r>
        <m:r>
          <m:rPr>
            <m:sty m:val="p"/>
          </m:rPr>
          <m:t>]</m:t>
        </m:r>
      </m:oMath>
      <w:r>
        <w:t xml:space="preserve"> </w:t>
      </w:r>
      <w:r>
        <w:t xml:space="preserve">is the tolerance parameter (lower tolerance means a tighter basin).</w:t>
      </w:r>
    </w:p>
    <w:p>
      <w:pPr>
        <w:pStyle w:val="BodyText"/>
      </w:pPr>
      <w:r>
        <w:t xml:space="preserve">Stability Analysis: Convergence can be shown using a Lyapunov-like potential function:</w:t>
      </w:r>
    </w:p>
    <w:p>
      <w:pPr>
        <w:pStyle w:val="BodyText"/>
      </w:pPr>
      <m:oMathPara>
        <m:oMathParaPr>
          <m:jc m:val="center"/>
        </m:oMathParaPr>
        <m:oMath>
          <m:r>
            <m:t>V</m:t>
          </m:r>
          <m:r>
            <m:rPr>
              <m:sty m:val="p"/>
            </m:rPr>
            <m:t>(</m:t>
          </m:r>
          <m:r>
            <m:t>x</m:t>
          </m:r>
          <m:r>
            <m:rPr>
              <m:sty m:val="p"/>
            </m:rPr>
            <m:t>)</m:t>
          </m:r>
          <m:r>
            <m:rPr>
              <m:sty m:val="p"/>
            </m:rPr>
            <m:t>=</m:t>
          </m:r>
          <m:f>
            <m:fPr>
              <m:type m:val="bar"/>
            </m:fPr>
            <m:num>
              <m:r>
                <m:t>1</m:t>
              </m:r>
            </m:num>
            <m:den>
              <m:r>
                <m:t>2</m:t>
              </m:r>
            </m:den>
          </m:f>
          <m:r>
            <m:rPr>
              <m:sty m:val="p"/>
            </m:rPr>
            <m:t>|</m:t>
          </m:r>
          <m:r>
            <m:t>x</m:t>
          </m:r>
          <m:r>
            <m:rPr>
              <m:sty m:val="p"/>
            </m:rPr>
            <m:t>−</m:t>
          </m:r>
          <m:acc>
            <m:accPr>
              <m:chr m:val="̂"/>
            </m:accPr>
            <m:e>
              <m:r>
                <m:t>a</m:t>
              </m:r>
            </m:e>
          </m:acc>
          <m:sSup>
            <m:e>
              <m:r>
                <m:rPr>
                  <m:sty m:val="p"/>
                </m:rPr>
                <m:t>|</m:t>
              </m:r>
            </m:e>
            <m:sup>
              <m:r>
                <m:t>2</m:t>
              </m:r>
            </m:sup>
          </m:sSup>
        </m:oMath>
      </m:oMathPara>
    </w:p>
    <w:p>
      <w:pPr>
        <w:pStyle w:val="FirstParagraph"/>
      </w:pPr>
      <w:r>
        <w:t xml:space="preserve">Its temporal derivative under proportional feedback satisfies:</w:t>
      </w:r>
    </w:p>
    <w:p>
      <w:pPr>
        <w:pStyle w:val="BodyText"/>
      </w:pPr>
      <m:oMathPara>
        <m:oMathParaPr>
          <m:jc m:val="center"/>
        </m:oMathParaPr>
        <m:oMath>
          <m:acc>
            <m:accPr>
              <m:chr m:val="̇"/>
            </m:accPr>
            <m:e>
              <m:r>
                <m:t>V</m:t>
              </m:r>
            </m:e>
          </m:acc>
          <m:r>
            <m:rPr>
              <m:sty m:val="p"/>
            </m:rPr>
            <m:t>(</m:t>
          </m:r>
          <m:r>
            <m:t>x</m:t>
          </m:r>
          <m:r>
            <m:rPr>
              <m:sty m:val="p"/>
            </m:rPr>
            <m:t>)</m:t>
          </m:r>
          <m:r>
            <m:rPr>
              <m:sty m:val="p"/>
            </m:rPr>
            <m:t>=</m:t>
          </m:r>
          <m:r>
            <m:rPr>
              <m:sty m:val="p"/>
            </m:rPr>
            <m:t>−</m:t>
          </m:r>
          <m:r>
            <m:t>K</m:t>
          </m:r>
          <m:r>
            <m:rPr>
              <m:sty m:val="p"/>
            </m:rPr>
            <m:t>|</m:t>
          </m:r>
          <m:r>
            <m:t>x</m:t>
          </m:r>
          <m:r>
            <m:rPr>
              <m:sty m:val="p"/>
            </m:rPr>
            <m:t>−</m:t>
          </m:r>
          <m:acc>
            <m:accPr>
              <m:chr m:val="̂"/>
            </m:accPr>
            <m:e>
              <m:r>
                <m:t>a</m:t>
              </m:r>
            </m:e>
          </m:acc>
          <m:sSup>
            <m:e>
              <m:r>
                <m:rPr>
                  <m:sty m:val="p"/>
                </m:rPr>
                <m:t>|</m:t>
              </m:r>
            </m:e>
            <m:sup>
              <m:r>
                <m:t>2</m:t>
              </m:r>
            </m:sup>
          </m:sSup>
          <m:r>
            <m:rPr>
              <m:sty m:val="p"/>
            </m:rPr>
            <m:t>&lt;</m:t>
          </m:r>
          <m:r>
            <m:t>0</m:t>
          </m:r>
        </m:oMath>
      </m:oMathPara>
    </w:p>
    <w:p>
      <w:pPr>
        <w:pStyle w:val="FirstParagraph"/>
      </w:pPr>
      <w:r>
        <w:t xml:space="preserve">This confirms that convergence towards the attractor is asymptotic, and stability is bounded within the basin (Khalil, 2002; Strogatz, 2014).</w:t>
      </w:r>
    </w:p>
    <w:bookmarkEnd w:id="33"/>
    <w:bookmarkStart w:id="34" w:name="X9fee8eaaec69c717f039003492fb7a19d7dcca0"/>
    <w:p>
      <w:pPr>
        <w:pStyle w:val="Heading3"/>
      </w:pPr>
      <w:r>
        <w:t xml:space="preserve">2.2.1 The Reference Point Problem: Why Similarity Computation Alone Is Insufficient</w:t>
      </w:r>
    </w:p>
    <w:p>
      <w:pPr>
        <w:pStyle w:val="FirstParagraph"/>
      </w:pPr>
      <w:r>
        <w:t xml:space="preserve">Transformer attention mechanisms rely on similarity computation through the scaled dot-product operation (Vaswani et al., 2017):</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The operation</w:t>
      </w:r>
      <w:r>
        <w:t xml:space="preserve"> </w:t>
      </w:r>
      <m:oMath>
        <m:r>
          <m:t>Q</m:t>
        </m:r>
        <m:sSup>
          <m:e>
            <m:r>
              <m:t>K</m:t>
            </m:r>
          </m:e>
          <m:sup>
            <m:r>
              <m:t>T</m:t>
            </m:r>
          </m:sup>
        </m:sSup>
      </m:oMath>
      <w:r>
        <w:t xml:space="preserve"> </w:t>
      </w:r>
      <w:r>
        <w:t xml:space="preserve">computes the dot product between query vectors and key vectors, a direct measurement of directional similarity between positions in the sequence. This is mathematically equivalent to un-normalized cosine similarity and captures how much the vectors</w:t>
      </w:r>
      <w:r>
        <w:t xml:space="preserve"> </w:t>
      </w:r>
      <w:r>
        <w:t xml:space="preserve">“point in the same direction”</w:t>
      </w:r>
      <w:r>
        <w:t xml:space="preserve"> </w:t>
      </w:r>
      <w:r>
        <w:t xml:space="preserve">within the embedding space (PyTorch Contributors, 2023).</w:t>
      </w:r>
    </w:p>
    <w:p>
      <w:pPr>
        <w:pStyle w:val="BodyText"/>
      </w:pPr>
      <w:r>
        <w:t xml:space="preserve">Every modern LLM, including LLaMA, Mistral, GPT, and Claude, performs this similarity computation billions of times during text generation, at every layer and every token position.</w:t>
      </w:r>
    </w:p>
    <w:p>
      <w:pPr>
        <w:pStyle w:val="BodyText"/>
      </w:pPr>
      <w:r>
        <w:t xml:space="preserve">The architecture already knows how to measure similarity. The question is: what is it measuring similarity against?</w:t>
      </w:r>
    </w:p>
    <w:bookmarkEnd w:id="34"/>
    <w:bookmarkStart w:id="35" w:name="attention-as-similarity-computation"/>
    <w:p>
      <w:pPr>
        <w:pStyle w:val="Heading3"/>
      </w:pPr>
      <w:r>
        <w:t xml:space="preserve">2.2.2 Attention as Similarity Computation</w:t>
      </w:r>
    </w:p>
    <w:p>
      <w:pPr>
        <w:pStyle w:val="FirstParagraph"/>
      </w:pPr>
      <w:r>
        <w:t xml:space="preserve">When a transformer generates token t, it creates a query vector</w:t>
      </w:r>
      <w:r>
        <w:t xml:space="preserve"> </w:t>
      </w:r>
      <m:oMath>
        <m:sSub>
          <m:e>
            <m:r>
              <m:t>Q</m:t>
            </m:r>
          </m:e>
          <m:sub>
            <m:r>
              <m:t>t</m:t>
            </m:r>
          </m:sub>
        </m:sSub>
      </m:oMath>
      <w:r>
        <w:t xml:space="preserve"> </w:t>
      </w:r>
      <w:r>
        <w:t xml:space="preserve">asking,</w:t>
      </w:r>
      <w:r>
        <w:t xml:space="preserve"> </w:t>
      </w:r>
      <w:r>
        <w:t xml:space="preserve">“what information am I looking for?”</w:t>
      </w:r>
      <w:r>
        <w:t xml:space="preserve"> </w:t>
      </w:r>
      <w:r>
        <w:t xml:space="preserve">It then computes:</w:t>
      </w:r>
    </w:p>
    <w:p>
      <w:pPr>
        <w:pStyle w:val="BodyText"/>
      </w:pPr>
      <m:oMathPara>
        <m:oMathParaPr>
          <m:jc m:val="center"/>
        </m:oMathParaPr>
        <m:oMath>
          <m:sSub>
            <m:e>
              <m:r>
                <m:rPr>
                  <m:nor/>
                  <m:sty m:val="p"/>
                </m:rPr>
                <m:t>score</m:t>
              </m:r>
            </m:e>
            <m:sub>
              <m:r>
                <m:t>t</m:t>
              </m:r>
              <m:r>
                <m:rPr>
                  <m:sty m:val="p"/>
                </m:rPr>
                <m:t>,</m:t>
              </m:r>
              <m:r>
                <m:t>i</m:t>
              </m:r>
            </m:sub>
          </m:sSub>
          <m:r>
            <m:rPr>
              <m:sty m:val="p"/>
            </m:rPr>
            <m:t>=</m:t>
          </m:r>
          <m:sSub>
            <m:e>
              <m:r>
                <m:t>Q</m:t>
              </m:r>
            </m:e>
            <m:sub>
              <m:r>
                <m:t>t</m:t>
              </m:r>
            </m:sub>
          </m:sSub>
          <m:r>
            <m:rPr>
              <m:sty m:val="p"/>
            </m:rPr>
            <m:t>⋅</m:t>
          </m:r>
          <m:sSubSup>
            <m:e>
              <m:r>
                <m:t>K</m:t>
              </m:r>
            </m:e>
            <m:sub>
              <m:r>
                <m:t>i</m:t>
              </m:r>
            </m:sub>
            <m:sup>
              <m:r>
                <m:t>T</m:t>
              </m:r>
            </m:sup>
          </m:sSubSup>
        </m:oMath>
      </m:oMathPara>
    </w:p>
    <w:p>
      <w:pPr>
        <w:pStyle w:val="FirstParagraph"/>
      </w:pPr>
      <w:r>
        <w:t xml:space="preserve">for each prior key vector</w:t>
      </w:r>
      <w:r>
        <w:t xml:space="preserve"> </w:t>
      </w:r>
      <m:oMath>
        <m:sSub>
          <m:e>
            <m:r>
              <m:t>K</m:t>
            </m:r>
          </m:e>
          <m:sub>
            <m:r>
              <m:t>i</m:t>
            </m:r>
          </m:sub>
        </m:sSub>
      </m:oMath>
      <w:r>
        <w:t xml:space="preserve"> </w:t>
      </w:r>
      <w:r>
        <w:t xml:space="preserve">in the context. These scores measure: how similar is my current generation state to position i?</w:t>
      </w:r>
    </w:p>
    <w:p>
      <w:pPr>
        <w:pStyle w:val="BodyText"/>
      </w:pPr>
      <w:r>
        <w:t xml:space="preserve">After applying softmax, these scores become attention weights that determine how much each previous position impacts the current generation. High similarity leads to a high attention weight, resulting in strong influence.</w:t>
      </w:r>
    </w:p>
    <w:p>
      <w:pPr>
        <w:pStyle w:val="BodyText"/>
      </w:pPr>
      <w:r>
        <w:t xml:space="preserve">This mechanism works incredibly well for language modeling. If you’re generating “The capital of France is __</w:t>
      </w:r>
      <w:r>
        <w:t xml:space="preserve">“, high attention to prior mentions of”</w:t>
      </w:r>
      <w:r>
        <w:t xml:space="preserve">France” and</w:t>
      </w:r>
      <w:r>
        <w:t xml:space="preserve"> </w:t>
      </w:r>
      <w:r>
        <w:t xml:space="preserve">“capital”</w:t>
      </w:r>
      <w:r>
        <w:t xml:space="preserve"> </w:t>
      </w:r>
      <w:r>
        <w:t xml:space="preserve">helps predict</w:t>
      </w:r>
      <w:r>
        <w:t xml:space="preserve"> </w:t>
      </w:r>
      <w:r>
        <w:t xml:space="preserve">“Paris.”</w:t>
      </w:r>
      <w:r>
        <w:t xml:space="preserve"> </w:t>
      </w:r>
      <w:r>
        <w:t xml:space="preserve">The model correctly identifies the relevant context through similarity matching.</w:t>
      </w:r>
    </w:p>
    <w:bookmarkEnd w:id="35"/>
    <w:bookmarkStart w:id="36" w:name="the-shifting-reference-point"/>
    <w:p>
      <w:pPr>
        <w:pStyle w:val="Heading3"/>
      </w:pPr>
      <w:r>
        <w:t xml:space="preserve">2.2.3 The Shifting Reference Point</w:t>
      </w:r>
    </w:p>
    <w:p>
      <w:pPr>
        <w:pStyle w:val="FirstParagraph"/>
      </w:pPr>
      <w:r>
        <w:t xml:space="preserve">However, this same mechanism fails for governance persistence because the reference point itself shifts during the conversation.</w:t>
      </w:r>
    </w:p>
    <w:p>
      <w:pPr>
        <w:pStyle w:val="BodyText"/>
      </w:pPr>
      <w:r>
        <w:t xml:space="preserve">Consider a session where the user declares at turn 1:</w:t>
      </w:r>
    </w:p>
    <w:p>
      <w:pPr>
        <w:pStyle w:val="BodyText"/>
      </w:pPr>
      <w:r>
        <w:t xml:space="preserve">P_0:</w:t>
      </w:r>
      <w:r>
        <w:t xml:space="preserve"> </w:t>
      </w:r>
      <w:r>
        <w:t xml:space="preserve">“Provide guidance on structure, but do not write content directly.”</w:t>
      </w:r>
    </w:p>
    <w:p>
      <w:pPr>
        <w:pStyle w:val="BodyText"/>
      </w:pPr>
      <w:r>
        <w:t xml:space="preserve">This constraint is encoded as an embedding vector</w:t>
      </w:r>
      <w:r>
        <w:t xml:space="preserve"> </w:t>
      </w:r>
      <m:oMath>
        <m:sSub>
          <m:e>
            <m:r>
              <m:t>p</m:t>
            </m:r>
          </m:e>
          <m:sub>
            <m:r>
              <m:t>0</m:t>
            </m:r>
          </m:sub>
        </m:sSub>
        <m:r>
          <m:rPr>
            <m:sty m:val="p"/>
          </m:rPr>
          <m:t>∈</m:t>
        </m:r>
        <m:sSup>
          <m:e>
            <m:r>
              <m:rPr>
                <m:scr m:val="double-struck"/>
                <m:sty m:val="p"/>
              </m:rPr>
              <m:t>R</m:t>
            </m:r>
          </m:e>
          <m:sup>
            <m:r>
              <m:t>d</m:t>
            </m:r>
          </m:sup>
        </m:sSup>
      </m:oMath>
      <w:r>
        <w:t xml:space="preserve">.</w:t>
      </w:r>
    </w:p>
    <w:p>
      <w:pPr>
        <w:pStyle w:val="BodyText"/>
      </w:pPr>
      <w:r>
        <w:t xml:space="preserve">Turn 5: Model response</w:t>
      </w:r>
      <w:r>
        <w:t xml:space="preserve"> </w:t>
      </w:r>
      <m:oMath>
        <m:sSub>
          <m:e>
            <m:r>
              <m:t>R</m:t>
            </m:r>
          </m:e>
          <m:sub>
            <m:r>
              <m:t>5</m:t>
            </m:r>
          </m:sub>
        </m:sSub>
      </m:oMath>
      <w:r>
        <w:t xml:space="preserve"> </w:t>
      </w:r>
      <w:r>
        <w:t xml:space="preserve">aligns well with</w:t>
      </w:r>
      <w:r>
        <w:t xml:space="preserve"> </w:t>
      </w:r>
      <m:oMath>
        <m:sSub>
          <m:e>
            <m:r>
              <m:t>P</m:t>
            </m:r>
          </m:e>
          <m:sub>
            <m:r>
              <m:t>0</m:t>
            </m:r>
          </m:sub>
        </m:sSub>
      </m:oMath>
      <w:r>
        <w:t xml:space="preserve">. The attention mechanism calculating</w:t>
      </w:r>
      <w:r>
        <w:t xml:space="preserve"> </w:t>
      </w:r>
      <m:oMath>
        <m:sSub>
          <m:e>
            <m:r>
              <m:t>Q</m:t>
            </m:r>
          </m:e>
          <m:sub>
            <m:r>
              <m:t>5</m:t>
            </m:r>
          </m:sub>
        </m:sSub>
        <m:r>
          <m:rPr>
            <m:sty m:val="p"/>
          </m:rPr>
          <m:t>⋅</m:t>
        </m:r>
        <m:sSubSup>
          <m:e>
            <m:r>
              <m:t>K</m:t>
            </m:r>
          </m:e>
          <m:sub>
            <m:r>
              <m:t>1</m:t>
            </m:r>
          </m:sub>
          <m:sup>
            <m:r>
              <m:t>T</m:t>
            </m:r>
          </m:sup>
        </m:sSubSup>
      </m:oMath>
      <w:r>
        <w:t xml:space="preserve"> </w:t>
      </w:r>
      <w:r>
        <w:t xml:space="preserve">correctly finds high similarity to the original constraint.</w:t>
      </w:r>
    </w:p>
    <w:p>
      <w:pPr>
        <w:pStyle w:val="BodyText"/>
      </w:pPr>
      <w:r>
        <w:t xml:space="preserve">Turn 15: Model response</w:t>
      </w:r>
      <w:r>
        <w:t xml:space="preserve"> </w:t>
      </w:r>
      <m:oMath>
        <m:sSub>
          <m:e>
            <m:r>
              <m:t>R</m:t>
            </m:r>
          </m:e>
          <m:sub>
            <m:r>
              <m:t>15</m:t>
            </m:r>
          </m:sub>
        </m:sSub>
      </m:oMath>
      <w:r>
        <w:t xml:space="preserve"> </w:t>
      </w:r>
      <w:r>
        <w:t xml:space="preserve">calculates attention weights:</w:t>
      </w:r>
    </w:p>
    <w:p>
      <w:pPr>
        <w:pStyle w:val="BodyText"/>
      </w:pPr>
      <m:oMathPara>
        <m:oMathParaPr>
          <m:jc m:val="center"/>
        </m:oMathParaPr>
        <m:oMath>
          <m:sSub>
            <m:e>
              <m:r>
                <m:t>α</m:t>
              </m:r>
            </m:e>
            <m:sub>
              <m:r>
                <m:t>15</m:t>
              </m:r>
              <m:r>
                <m:rPr>
                  <m:sty m:val="p"/>
                </m:rPr>
                <m:t>,</m:t>
              </m:r>
              <m:r>
                <m:t>i</m:t>
              </m:r>
            </m:sub>
          </m:sSub>
          <m:r>
            <m:rPr>
              <m:sty m:val="p"/>
            </m:rPr>
            <m:t>=</m:t>
          </m:r>
          <m:f>
            <m:fPr>
              <m:type m:val="bar"/>
            </m:fPr>
            <m:num>
              <m:r>
                <m:rPr>
                  <m:sty m:val="p"/>
                </m:rPr>
                <m:t>exp</m:t>
              </m:r>
              <m:r>
                <m:rPr>
                  <m:sty m:val="p"/>
                </m:rPr>
                <m:t>(</m:t>
              </m:r>
              <m:sSub>
                <m:e>
                  <m:r>
                    <m:t>Q</m:t>
                  </m:r>
                </m:e>
                <m:sub>
                  <m:r>
                    <m:t>15</m:t>
                  </m:r>
                </m:sub>
              </m:sSub>
              <m:r>
                <m:rPr>
                  <m:sty m:val="p"/>
                </m:rPr>
                <m:t>⋅</m:t>
              </m:r>
              <m:sSubSup>
                <m:e>
                  <m:r>
                    <m:t>K</m:t>
                  </m:r>
                </m:e>
                <m:sub>
                  <m:r>
                    <m:t>i</m:t>
                  </m:r>
                </m:sub>
                <m:sup>
                  <m:r>
                    <m:t>T</m:t>
                  </m:r>
                </m:sup>
              </m:sSubSup>
              <m:r>
                <m:rPr>
                  <m:sty m:val="p"/>
                </m:rPr>
                <m:t>/</m:t>
              </m:r>
              <m:rad>
                <m:radPr>
                  <m:degHide m:val="on"/>
                </m:radPr>
                <m:deg/>
                <m:e>
                  <m:sSub>
                    <m:e>
                      <m:r>
                        <m:t>d</m:t>
                      </m:r>
                    </m:e>
                    <m:sub>
                      <m:r>
                        <m:t>k</m:t>
                      </m:r>
                    </m:sub>
                  </m:sSub>
                </m:e>
              </m:rad>
              <m:r>
                <m:rPr>
                  <m:sty m:val="p"/>
                </m:rPr>
                <m:t>)</m:t>
              </m:r>
            </m:num>
            <m:den>
              <m:nary>
                <m:naryPr>
                  <m:chr m:val="∑"/>
                  <m:limLoc m:val="undOvr"/>
                  <m:subHide m:val="off"/>
                  <m:supHide m:val="on"/>
                </m:naryPr>
                <m:sub>
                  <m:r>
                    <m:t>j</m:t>
                  </m:r>
                </m:sub>
                <m:sup>
                  <m:r>
                    <m:t>​</m:t>
                  </m:r>
                </m:sup>
                <m:e>
                  <m:r>
                    <m:rPr>
                      <m:sty m:val="p"/>
                    </m:rPr>
                    <m:t>exp</m:t>
                  </m:r>
                </m:e>
              </m:nary>
              <m:r>
                <m:rPr>
                  <m:sty m:val="p"/>
                </m:rPr>
                <m:t>(</m:t>
              </m:r>
              <m:sSub>
                <m:e>
                  <m:r>
                    <m:t>Q</m:t>
                  </m:r>
                </m:e>
                <m:sub>
                  <m:r>
                    <m:t>15</m:t>
                  </m:r>
                </m:sub>
              </m:sSub>
              <m:r>
                <m:rPr>
                  <m:sty m:val="p"/>
                </m:rPr>
                <m:t>⋅</m:t>
              </m:r>
              <m:sSubSup>
                <m:e>
                  <m:r>
                    <m:t>K</m:t>
                  </m:r>
                </m:e>
                <m:sub>
                  <m:r>
                    <m:t>j</m:t>
                  </m:r>
                </m:sub>
                <m:sup>
                  <m:r>
                    <m:t>T</m:t>
                  </m:r>
                </m:sup>
              </m:sSubSup>
              <m:r>
                <m:rPr>
                  <m:sty m:val="p"/>
                </m:rPr>
                <m:t>/</m:t>
              </m:r>
              <m:rad>
                <m:radPr>
                  <m:degHide m:val="on"/>
                </m:radPr>
                <m:deg/>
                <m:e>
                  <m:sSub>
                    <m:e>
                      <m:r>
                        <m:t>d</m:t>
                      </m:r>
                    </m:e>
                    <m:sub>
                      <m:r>
                        <m:t>k</m:t>
                      </m:r>
                    </m:sub>
                  </m:sSub>
                </m:e>
              </m:rad>
              <m:r>
                <m:rPr>
                  <m:sty m:val="p"/>
                </m:rPr>
                <m:t>)</m:t>
              </m:r>
            </m:den>
          </m:f>
        </m:oMath>
      </m:oMathPara>
    </w:p>
    <w:p>
      <w:pPr>
        <w:pStyle w:val="FirstParagraph"/>
      </w:pPr>
      <w:r>
        <w:t xml:space="preserve">Because of RoPE-induced recency bias (Yang et al., 2025), attention gives more weight to recent keys</w:t>
      </w:r>
      <w:r>
        <w:t xml:space="preserve"> </w:t>
      </w:r>
      <m:oMath>
        <m:sSub>
          <m:e>
            <m:r>
              <m:t>K</m:t>
            </m:r>
          </m:e>
          <m:sub>
            <m:r>
              <m:t>12</m:t>
            </m:r>
          </m:sub>
        </m:sSub>
        <m:r>
          <m:rPr>
            <m:sty m:val="p"/>
          </m:rPr>
          <m:t>,</m:t>
        </m:r>
        <m:sSub>
          <m:e>
            <m:r>
              <m:t>K</m:t>
            </m:r>
          </m:e>
          <m:sub>
            <m:r>
              <m:t>13</m:t>
            </m:r>
          </m:sub>
        </m:sSub>
        <m:r>
          <m:rPr>
            <m:sty m:val="p"/>
          </m:rPr>
          <m:t>,</m:t>
        </m:r>
        <m:sSub>
          <m:e>
            <m:r>
              <m:t>K</m:t>
            </m:r>
          </m:e>
          <m:sub>
            <m:r>
              <m:t>14</m:t>
            </m:r>
          </m:sub>
        </m:sSub>
      </m:oMath>
      <w:r>
        <w:t xml:space="preserve">. These keys reflect the immediate context of the conversation.</w:t>
      </w:r>
    </w:p>
    <w:p>
      <w:pPr>
        <w:pStyle w:val="BodyText"/>
      </w:pPr>
      <w:r>
        <w:t xml:space="preserve">However, if</w:t>
      </w:r>
      <w:r>
        <w:t xml:space="preserve"> </w:t>
      </w:r>
      <m:oMath>
        <m:sSub>
          <m:e>
            <m:r>
              <m:t>K</m:t>
            </m:r>
          </m:e>
          <m:sub>
            <m:r>
              <m:t>12</m:t>
            </m:r>
          </m:sub>
        </m:sSub>
      </m:oMath>
      <w:r>
        <w:t xml:space="preserve"> </w:t>
      </w:r>
      <w:r>
        <w:t xml:space="preserve">to</w:t>
      </w:r>
      <w:r>
        <w:t xml:space="preserve"> </w:t>
      </w:r>
      <m:oMath>
        <m:sSub>
          <m:e>
            <m:r>
              <m:t>K</m:t>
            </m:r>
          </m:e>
          <m:sub>
            <m:r>
              <m:t>14</m:t>
            </m:r>
          </m:sub>
        </m:sSub>
      </m:oMath>
      <w:r>
        <w:t xml:space="preserve"> </w:t>
      </w:r>
      <w:r>
        <w:t xml:space="preserve">have drifted from</w:t>
      </w:r>
      <w:r>
        <w:t xml:space="preserve"> </w:t>
      </w:r>
      <m:oMath>
        <m:sSub>
          <m:e>
            <m:r>
              <m:t>p</m:t>
            </m:r>
          </m:e>
          <m:sub>
            <m:r>
              <m:t>0</m:t>
            </m:r>
          </m:sub>
        </m:sSub>
      </m:oMath>
      <w:r>
        <w:t xml:space="preserve">, the model measures similarity against corrupted references. It computes correctly:</w:t>
      </w:r>
    </w:p>
    <w:p>
      <w:pPr>
        <w:pStyle w:val="BodyText"/>
      </w:pPr>
      <m:oMathPara>
        <m:oMathParaPr>
          <m:jc m:val="center"/>
        </m:oMathParaPr>
        <m:oMath>
          <m:sSub>
            <m:e>
              <m:r>
                <m:t>Q</m:t>
              </m:r>
            </m:e>
            <m:sub>
              <m:r>
                <m:t>15</m:t>
              </m:r>
            </m:sub>
          </m:sSub>
          <m:r>
            <m:rPr>
              <m:sty m:val="p"/>
            </m:rPr>
            <m:t>⋅</m:t>
          </m:r>
          <m:sSubSup>
            <m:e>
              <m:r>
                <m:t>K</m:t>
              </m:r>
            </m:e>
            <m:sub>
              <m:r>
                <m:t>14</m:t>
              </m:r>
            </m:sub>
            <m:sup>
              <m:r>
                <m:t>T</m:t>
              </m:r>
            </m:sup>
          </m:sSubSup>
          <m:r>
            <m:rPr>
              <m:sty m:val="p"/>
            </m:rPr>
            <m:t>≈</m:t>
          </m:r>
          <m:r>
            <m:rPr>
              <m:nor/>
              <m:sty m:val="p"/>
            </m:rPr>
            <m:t>high similarity</m:t>
          </m:r>
        </m:oMath>
      </m:oMathPara>
    </w:p>
    <w:p>
      <w:pPr>
        <w:pStyle w:val="FirstParagraph"/>
      </w:pPr>
      <w:r>
        <w:t xml:space="preserve">and concludes that it is aligned. But</w:t>
      </w:r>
      <w:r>
        <w:t xml:space="preserve"> </w:t>
      </w:r>
      <m:oMath>
        <m:sSub>
          <m:e>
            <m:r>
              <m:t>K</m:t>
            </m:r>
          </m:e>
          <m:sub>
            <m:r>
              <m:t>14</m:t>
            </m:r>
          </m:sub>
        </m:sSub>
      </m:oMath>
      <w:r>
        <w:t xml:space="preserve"> </w:t>
      </w:r>
      <w:r>
        <w:t xml:space="preserve">itself shows low similarity to</w:t>
      </w:r>
      <w:r>
        <w:t xml:space="preserve"> </w:t>
      </w:r>
      <m:oMath>
        <m:sSub>
          <m:e>
            <m:r>
              <m:t>p</m:t>
            </m:r>
          </m:e>
          <m:sub>
            <m:r>
              <m:t>0</m:t>
            </m:r>
          </m:sub>
        </m:sSub>
      </m:oMath>
      <w:r>
        <w:t xml:space="preserve">:</w:t>
      </w:r>
    </w:p>
    <w:p>
      <w:pPr>
        <w:pStyle w:val="BodyText"/>
      </w:pPr>
      <m:oMathPara>
        <m:oMathParaPr>
          <m:jc m:val="center"/>
        </m:oMathParaPr>
        <m:oMath>
          <m:sSub>
            <m:e>
              <m:r>
                <m:t>K</m:t>
              </m:r>
            </m:e>
            <m:sub>
              <m:r>
                <m:t>14</m:t>
              </m:r>
            </m:sub>
          </m:sSub>
          <m:r>
            <m:rPr>
              <m:sty m:val="p"/>
            </m:rPr>
            <m:t>⋅</m:t>
          </m:r>
          <m:sSubSup>
            <m:e>
              <m:r>
                <m:t>p</m:t>
              </m:r>
            </m:e>
            <m:sub>
              <m:r>
                <m:t>0</m:t>
              </m:r>
            </m:sub>
            <m:sup>
              <m:r>
                <m:t>T</m:t>
              </m:r>
            </m:sup>
          </m:sSubSup>
          <m:r>
            <m:rPr>
              <m:sty m:val="p"/>
            </m:rPr>
            <m:t>≈</m:t>
          </m:r>
          <m:r>
            <m:rPr>
              <m:nor/>
              <m:sty m:val="p"/>
            </m:rPr>
            <m:t>low similarity</m:t>
          </m:r>
        </m:oMath>
      </m:oMathPara>
    </w:p>
    <w:p>
      <w:pPr>
        <w:pStyle w:val="FirstParagraph"/>
      </w:pPr>
      <w:r>
        <w:t xml:space="preserve">The similarity computation is accurate. The reference point it uses has drifted.</w:t>
      </w:r>
    </w:p>
    <w:bookmarkEnd w:id="36"/>
    <w:bookmarkStart w:id="37" w:name="architectural-sources-of-recency-bias"/>
    <w:p>
      <w:pPr>
        <w:pStyle w:val="Heading3"/>
      </w:pPr>
      <w:r>
        <w:t xml:space="preserve">2.2.4 Architectural Sources of Recency Bias</w:t>
      </w:r>
    </w:p>
    <w:p>
      <w:pPr>
        <w:pStyle w:val="FirstParagraph"/>
      </w:pPr>
      <w:r>
        <w:t xml:space="preserve">This reference drift happens intentionally through two mechanisms:</w:t>
      </w:r>
    </w:p>
    <w:p>
      <w:pPr>
        <w:pStyle w:val="Compact"/>
        <w:numPr>
          <w:ilvl w:val="0"/>
          <w:numId w:val="1004"/>
        </w:numPr>
      </w:pPr>
      <w:r>
        <w:t xml:space="preserve">RoPE Positional Encoding (Yang et al., 2025):</w:t>
      </w:r>
    </w:p>
    <w:p>
      <w:pPr>
        <w:pStyle w:val="FirstParagraph"/>
      </w:pPr>
      <w:r>
        <w:t xml:space="preserve">“RoPE exhibits a stronger recency bias (positional focus)… RoPE layers handle local information effectively due to their built-in recency bias.”</w:t>
      </w:r>
    </w:p>
    <w:p>
      <w:pPr>
        <w:pStyle w:val="BodyText"/>
      </w:pPr>
      <w:r>
        <w:t xml:space="preserve">Rotary positional encodings, used in LLaMA, Mistral, and other modern systems, apply rotations to query and key vectors that favor nearby positions. Distant positions receive less attention not through learned preference but through mathematical design.</w:t>
      </w:r>
    </w:p>
    <w:p>
      <w:pPr>
        <w:pStyle w:val="Compact"/>
        <w:numPr>
          <w:ilvl w:val="0"/>
          <w:numId w:val="1005"/>
        </w:numPr>
      </w:pPr>
      <w:r>
        <w:t xml:space="preserve">Learned Attention Patterns (Liu et al., 2023):</w:t>
      </w:r>
    </w:p>
    <w:p>
      <w:pPr>
        <w:pStyle w:val="FirstParagraph"/>
      </w:pPr>
      <w:r>
        <w:t xml:space="preserve">“During pre-training, this induces a learned bias to attend to recent tokens… attention mechanisms create</w:t>
      </w:r>
      <w:r>
        <w:t xml:space="preserve"> </w:t>
      </w:r>
      <w:r>
        <w:t xml:space="preserve">‘sinks’</w:t>
      </w:r>
      <w:r>
        <w:t xml:space="preserve"> </w:t>
      </w:r>
      <w:r>
        <w:t xml:space="preserve">that capture focus disproportionately.”</w:t>
      </w:r>
    </w:p>
    <w:p>
      <w:pPr>
        <w:pStyle w:val="BodyText"/>
      </w:pPr>
      <w:r>
        <w:t xml:space="preserve">Pre-training on natural text, where recent context is the best predictor for the next token, reinforces the recency weighting. The model learns that</w:t>
      </w:r>
      <w:r>
        <w:t xml:space="preserve"> </w:t>
      </w:r>
      <w:r>
        <w:t xml:space="preserve">“recent tokens matter most.”</w:t>
      </w:r>
      <w:r>
        <w:t xml:space="preserve"> </w:t>
      </w:r>
      <w:r>
        <w:t xml:space="preserve">This is correct for language modeling but leads to reference drift in governance.</w:t>
      </w:r>
    </w:p>
    <w:bookmarkEnd w:id="37"/>
    <w:bookmarkStart w:id="38" w:name="X821c19b441ff312e4559f121a3fe985d3df5c0b"/>
    <w:p>
      <w:pPr>
        <w:pStyle w:val="Heading3"/>
      </w:pPr>
      <w:r>
        <w:t xml:space="preserve">2.2.5 Mathematical Formalization of Reference Drift</w:t>
      </w:r>
    </w:p>
    <w:p>
      <w:pPr>
        <w:pStyle w:val="FirstParagraph"/>
      </w:pPr>
      <w:r>
        <w:t xml:space="preserve">Let</w:t>
      </w:r>
      <w:r>
        <w:t xml:space="preserve"> </w:t>
      </w:r>
      <m:oMath>
        <m:sSub>
          <m:e>
            <m:r>
              <m:t>r</m:t>
            </m:r>
          </m:e>
          <m:sub>
            <m:r>
              <m:t>t</m:t>
            </m:r>
          </m:sub>
        </m:sSub>
      </m:oMath>
      <w:r>
        <w:t xml:space="preserve"> </w:t>
      </w:r>
      <w:r>
        <w:t xml:space="preserve">denote the effective reference that attention mechanisms use at turn</w:t>
      </w:r>
      <w:r>
        <w:t xml:space="preserve"> </w:t>
      </w:r>
      <m:oMath>
        <m:r>
          <m:t>t</m:t>
        </m:r>
      </m:oMath>
      <w:r>
        <w:t xml:space="preserve">. This is the average of key vectors weighed by attention:</w:t>
      </w:r>
    </w:p>
    <w:p>
      <w:pPr>
        <w:pStyle w:val="BodyText"/>
      </w:pPr>
      <m:oMathPara>
        <m:oMathParaPr>
          <m:jc m:val="center"/>
        </m:oMathParaPr>
        <m:oMath>
          <m:sSub>
            <m:e>
              <m:r>
                <m:t>r</m:t>
              </m:r>
            </m:e>
            <m:sub>
              <m:r>
                <m:t>t</m:t>
              </m:r>
            </m:sub>
          </m:sSub>
          <m:r>
            <m:rPr>
              <m:sty m:val="p"/>
            </m:rPr>
            <m:t>=</m:t>
          </m:r>
          <m:nary>
            <m:naryPr>
              <m:chr m:val="∑"/>
              <m:limLoc m:val="undOvr"/>
              <m:subHide m:val="off"/>
              <m:supHide m:val="off"/>
            </m:naryPr>
            <m:sub>
              <m:r>
                <m:t>i</m:t>
              </m:r>
              <m:r>
                <m:rPr>
                  <m:sty m:val="p"/>
                </m:rPr>
                <m:t>=</m:t>
              </m:r>
              <m:r>
                <m:t>1</m:t>
              </m:r>
            </m:sub>
            <m:sup>
              <m:r>
                <m:t>t</m:t>
              </m:r>
              <m:r>
                <m:rPr>
                  <m:sty m:val="p"/>
                </m:rPr>
                <m:t>−</m:t>
              </m:r>
              <m:r>
                <m:t>1</m:t>
              </m:r>
            </m:sup>
            <m:e>
              <m:sSub>
                <m:e>
                  <m:r>
                    <m:t>α</m:t>
                  </m:r>
                </m:e>
                <m:sub>
                  <m:r>
                    <m:t>t</m:t>
                  </m:r>
                  <m:r>
                    <m:rPr>
                      <m:sty m:val="p"/>
                    </m:rPr>
                    <m:t>,</m:t>
                  </m:r>
                  <m:r>
                    <m:t>i</m:t>
                  </m:r>
                </m:sub>
              </m:sSub>
            </m:e>
          </m:nary>
          <m:sSub>
            <m:e>
              <m:r>
                <m:t>k</m:t>
              </m:r>
            </m:e>
            <m:sub>
              <m:r>
                <m:t>i</m:t>
              </m:r>
            </m:sub>
          </m:sSub>
        </m:oMath>
      </m:oMathPara>
    </w:p>
    <w:p>
      <w:pPr>
        <w:pStyle w:val="FirstParagraph"/>
      </w:pPr>
      <w:r>
        <w:t xml:space="preserve">where</w:t>
      </w:r>
      <w:r>
        <w:t xml:space="preserve"> </w:t>
      </w:r>
      <m:oMath>
        <m:sSub>
          <m:e>
            <m:r>
              <m:t>α</m:t>
            </m:r>
          </m:e>
          <m:sub>
            <m:r>
              <m:t>t</m:t>
            </m:r>
            <m:r>
              <m:rPr>
                <m:sty m:val="p"/>
              </m:rPr>
              <m:t>,</m:t>
            </m:r>
            <m:r>
              <m:t>i</m:t>
            </m:r>
          </m:sub>
        </m:sSub>
      </m:oMath>
      <w:r>
        <w:t xml:space="preserve"> </w:t>
      </w:r>
      <w:r>
        <w:t xml:space="preserve">are the attention weights.</w:t>
      </w:r>
    </w:p>
    <w:p>
      <w:pPr>
        <w:pStyle w:val="BodyText"/>
      </w:pPr>
      <w:r>
        <w:t xml:space="preserve">Due to recency bias:</w:t>
      </w:r>
    </w:p>
    <w:p>
      <w:pPr>
        <w:pStyle w:val="BodyText"/>
      </w:pPr>
      <m:oMathPara>
        <m:oMathParaPr>
          <m:jc m:val="center"/>
        </m:oMathParaPr>
        <m:oMath>
          <m:sSub>
            <m:e>
              <m:r>
                <m:t>α</m:t>
              </m:r>
            </m:e>
            <m:sub>
              <m:r>
                <m:t>t</m:t>
              </m:r>
              <m:r>
                <m:rPr>
                  <m:sty m:val="p"/>
                </m:rPr>
                <m:t>,</m:t>
              </m:r>
              <m:r>
                <m:t>i</m:t>
              </m:r>
            </m:sub>
          </m:sSub>
          <m:r>
            <m:rPr>
              <m:sty m:val="p"/>
            </m:rPr>
            <m:t>∝</m:t>
          </m:r>
          <m:r>
            <m:rPr>
              <m:sty m:val="p"/>
            </m:rPr>
            <m:t>exp</m:t>
          </m:r>
          <m:r>
            <m:rPr>
              <m:sty m:val="p"/>
            </m:rPr>
            <m:t>(</m:t>
          </m:r>
          <m:r>
            <m:rPr>
              <m:sty m:val="p"/>
            </m:rPr>
            <m:t>−</m:t>
          </m:r>
          <m:r>
            <m:t>β</m:t>
          </m:r>
          <m:r>
            <m:rPr>
              <m:sty m:val="p"/>
            </m:rPr>
            <m:t>⋅</m:t>
          </m:r>
          <m:r>
            <m:rPr>
              <m:sty m:val="p"/>
            </m:rPr>
            <m:t>(</m:t>
          </m:r>
          <m:r>
            <m:t>t</m:t>
          </m:r>
          <m:r>
            <m:rPr>
              <m:sty m:val="p"/>
            </m:rPr>
            <m:t>−</m:t>
          </m:r>
          <m:r>
            <m:t>i</m:t>
          </m:r>
          <m:r>
            <m:rPr>
              <m:sty m:val="p"/>
            </m:rPr>
            <m:t>)</m:t>
          </m:r>
          <m:r>
            <m:rPr>
              <m:sty m:val="p"/>
            </m:rPr>
            <m:t>)</m:t>
          </m:r>
          <m:r>
            <m:rPr>
              <m:sty m:val="p"/>
            </m:rPr>
            <m:t>⋅</m:t>
          </m:r>
          <m:r>
            <m:rPr>
              <m:sty m:val="p"/>
            </m:rPr>
            <m:t>exp</m:t>
          </m:r>
          <m:r>
            <m:rPr>
              <m:sty m:val="p"/>
            </m:rPr>
            <m:t>(</m:t>
          </m:r>
          <m:sSub>
            <m:e>
              <m:r>
                <m:t>Q</m:t>
              </m:r>
            </m:e>
            <m:sub>
              <m:r>
                <m:t>t</m:t>
              </m:r>
            </m:sub>
          </m:sSub>
          <m:r>
            <m:rPr>
              <m:sty m:val="p"/>
            </m:rPr>
            <m:t>⋅</m:t>
          </m:r>
          <m:sSubSup>
            <m:e>
              <m:r>
                <m:t>K</m:t>
              </m:r>
            </m:e>
            <m:sub>
              <m:r>
                <m:t>i</m:t>
              </m:r>
            </m:sub>
            <m:sup>
              <m:r>
                <m:t>T</m:t>
              </m:r>
            </m:sup>
          </m:sSubSup>
          <m:r>
            <m:rPr>
              <m:sty m:val="p"/>
            </m:rPr>
            <m:t>/</m:t>
          </m:r>
          <m:rad>
            <m:radPr>
              <m:degHide m:val="on"/>
            </m:radPr>
            <m:deg/>
            <m:e>
              <m:sSub>
                <m:e>
                  <m:r>
                    <m:t>d</m:t>
                  </m:r>
                </m:e>
                <m:sub>
                  <m:r>
                    <m:t>k</m:t>
                  </m:r>
                </m:sub>
              </m:sSub>
            </m:e>
          </m:rad>
          <m:r>
            <m:rPr>
              <m:sty m:val="p"/>
            </m:rPr>
            <m:t>)</m:t>
          </m:r>
        </m:oMath>
      </m:oMathPara>
    </w:p>
    <w:p>
      <w:pPr>
        <w:pStyle w:val="FirstParagraph"/>
      </w:pPr>
      <w:r>
        <w:t xml:space="preserve">for some decay parameter</w:t>
      </w:r>
      <w:r>
        <w:t xml:space="preserve"> </w:t>
      </w:r>
      <m:oMath>
        <m:r>
          <m:t>β</m:t>
        </m:r>
        <m:r>
          <m:rPr>
            <m:sty m:val="p"/>
          </m:rPr>
          <m:t>&gt;</m:t>
        </m:r>
        <m:r>
          <m:t>0</m:t>
        </m:r>
      </m:oMath>
      <w:r>
        <w:t xml:space="preserve"> </w:t>
      </w:r>
      <w:r>
        <w:t xml:space="preserve">from positional encoding.</w:t>
      </w:r>
    </w:p>
    <w:p>
      <w:pPr>
        <w:pStyle w:val="BodyText"/>
      </w:pPr>
      <w:r>
        <w:t xml:space="preserve">Over turns, the effective reference drifts:</w:t>
      </w:r>
    </w:p>
    <w:p>
      <w:pPr>
        <w:pStyle w:val="BodyText"/>
      </w:pPr>
      <m:oMathPara>
        <m:oMathParaPr>
          <m:jc m:val="center"/>
        </m:oMathParaPr>
        <m:oMath>
          <m:r>
            <m:rPr>
              <m:sty m:val="p"/>
            </m:rPr>
            <m:t>∥</m:t>
          </m:r>
          <m:sSub>
            <m:e>
              <m:r>
                <m:t>r</m:t>
              </m:r>
            </m:e>
            <m:sub>
              <m:r>
                <m:t>t</m:t>
              </m:r>
            </m:sub>
          </m:sSub>
          <m:r>
            <m:rPr>
              <m:sty m:val="p"/>
            </m:rPr>
            <m:t>−</m:t>
          </m:r>
          <m:sSub>
            <m:e>
              <m:r>
                <m:t>p</m:t>
              </m:r>
            </m:e>
            <m:sub>
              <m:r>
                <m:t>0</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t</m:t>
                  </m:r>
                  <m:r>
                    <m:rPr>
                      <m:sty m:val="p"/>
                    </m:rPr>
                    <m:t>−</m:t>
                  </m:r>
                  <m:r>
                    <m:t>1</m:t>
                  </m:r>
                </m:sup>
                <m:e>
                  <m:sSub>
                    <m:e>
                      <m:r>
                        <m:t>α</m:t>
                      </m:r>
                    </m:e>
                    <m:sub>
                      <m:r>
                        <m:t>t</m:t>
                      </m:r>
                      <m:r>
                        <m:rPr>
                          <m:sty m:val="p"/>
                        </m:rPr>
                        <m:t>,</m:t>
                      </m:r>
                      <m:r>
                        <m:t>i</m:t>
                      </m:r>
                    </m:sub>
                  </m:sSub>
                </m:e>
              </m:nary>
              <m:sSub>
                <m:e>
                  <m:r>
                    <m:t>k</m:t>
                  </m:r>
                </m:e>
                <m:sub>
                  <m:r>
                    <m:t>i</m:t>
                  </m:r>
                </m:sub>
              </m:sSub>
              <m:r>
                <m:rPr>
                  <m:sty m:val="p"/>
                </m:rPr>
                <m:t>−</m:t>
              </m:r>
              <m:sSub>
                <m:e>
                  <m:r>
                    <m:t>p</m:t>
                  </m:r>
                </m:e>
                <m:sub>
                  <m:r>
                    <m:t>0</m:t>
                  </m:r>
                </m:sub>
              </m:sSub>
            </m:e>
          </m:d>
          <m:r>
            <m:rPr>
              <m:sty m:val="p"/>
            </m:rPr>
            <m:t>→</m:t>
          </m:r>
          <m:r>
            <m:rPr>
              <m:sty m:val="p"/>
            </m:rPr>
            <m:t>Δ</m:t>
          </m:r>
          <m:r>
            <m:rPr>
              <m:sty m:val="p"/>
            </m:rPr>
            <m:t>&gt;</m:t>
          </m:r>
          <m:r>
            <m:t>0</m:t>
          </m:r>
        </m:oMath>
      </m:oMathPara>
    </w:p>
    <w:p>
      <w:pPr>
        <w:pStyle w:val="FirstParagraph"/>
      </w:pPr>
      <w:r>
        <w:t xml:space="preserve">as the conversation continues and</w:t>
      </w:r>
      <w:r>
        <w:t xml:space="preserve"> </w:t>
      </w:r>
      <m:oMath>
        <m:sSub>
          <m:e>
            <m:r>
              <m:t>α</m:t>
            </m:r>
          </m:e>
          <m:sub>
            <m:r>
              <m:t>t</m:t>
            </m:r>
            <m:r>
              <m:rPr>
                <m:sty m:val="p"/>
              </m:rPr>
              <m:t>,</m:t>
            </m:r>
            <m:r>
              <m:t>i</m:t>
            </m:r>
          </m:sub>
        </m:sSub>
      </m:oMath>
      <w:r>
        <w:t xml:space="preserve"> </w:t>
      </w:r>
      <w:r>
        <w:t xml:space="preserve">focuses on recent</w:t>
      </w:r>
      <w:r>
        <w:t xml:space="preserve"> </w:t>
      </w:r>
      <m:oMath>
        <m:r>
          <m:t>i</m:t>
        </m:r>
      </m:oMath>
      <w:r>
        <w:t xml:space="preserve">.</w:t>
      </w:r>
    </w:p>
    <w:p>
      <w:pPr>
        <w:pStyle w:val="BodyText"/>
      </w:pPr>
      <w:r>
        <w:t xml:space="preserve">The model calculates:</w:t>
      </w:r>
    </w:p>
    <w:p>
      <w:pPr>
        <w:pStyle w:val="BodyText"/>
      </w:pPr>
      <m:oMathPara>
        <m:oMathParaPr>
          <m:jc m:val="center"/>
        </m:oMathParaPr>
        <m:oMath>
          <m:sSub>
            <m:e>
              <m:r>
                <m:rPr>
                  <m:nor/>
                  <m:sty m:val="p"/>
                </m:rPr>
                <m:t>similarity</m:t>
              </m:r>
            </m:e>
            <m:sub>
              <m:r>
                <m:t>t</m:t>
              </m:r>
            </m:sub>
          </m:sSub>
          <m:r>
            <m:rPr>
              <m:sty m:val="p"/>
            </m:rPr>
            <m:t>=</m:t>
          </m:r>
          <m:sSub>
            <m:e>
              <m:r>
                <m:t>Q</m:t>
              </m:r>
            </m:e>
            <m:sub>
              <m:r>
                <m:t>t</m:t>
              </m:r>
            </m:sub>
          </m:sSub>
          <m:r>
            <m:rPr>
              <m:sty m:val="p"/>
            </m:rPr>
            <m:t>⋅</m:t>
          </m:r>
          <m:sSubSup>
            <m:e>
              <m:r>
                <m:t>r</m:t>
              </m:r>
            </m:e>
            <m:sub>
              <m:r>
                <m:t>t</m:t>
              </m:r>
            </m:sub>
            <m:sup>
              <m:r>
                <m:t>T</m:t>
              </m:r>
            </m:sup>
          </m:sSubSup>
        </m:oMath>
      </m:oMathPara>
    </w:p>
    <w:p>
      <w:pPr>
        <w:pStyle w:val="FirstParagraph"/>
      </w:pPr>
      <w:r>
        <w:t xml:space="preserve">which remains high (local coherence), while:</w:t>
      </w:r>
    </w:p>
    <w:p>
      <w:pPr>
        <w:pStyle w:val="BodyText"/>
      </w:pPr>
      <m:oMathPara>
        <m:oMathParaPr>
          <m:jc m:val="center"/>
        </m:oMathParaPr>
        <m:oMath>
          <m:sSub>
            <m:e>
              <m:r>
                <m:rPr>
                  <m:nor/>
                  <m:sty m:val="p"/>
                </m:rPr>
                <m:t>fidelity</m:t>
              </m:r>
            </m:e>
            <m:sub>
              <m:r>
                <m:t>t</m:t>
              </m:r>
            </m:sub>
          </m:sSub>
          <m:r>
            <m:rPr>
              <m:sty m:val="p"/>
            </m:rPr>
            <m:t>=</m:t>
          </m:r>
          <m:sSub>
            <m:e>
              <m:r>
                <m:t>Q</m:t>
              </m:r>
            </m:e>
            <m:sub>
              <m:r>
                <m:t>t</m:t>
              </m:r>
            </m:sub>
          </m:sSub>
          <m:r>
            <m:rPr>
              <m:sty m:val="p"/>
            </m:rPr>
            <m:t>⋅</m:t>
          </m:r>
          <m:sSubSup>
            <m:e>
              <m:r>
                <m:t>p</m:t>
              </m:r>
            </m:e>
            <m:sub>
              <m:r>
                <m:t>0</m:t>
              </m:r>
            </m:sub>
            <m:sup>
              <m:r>
                <m:t>T</m:t>
              </m:r>
            </m:sup>
          </m:sSubSup>
        </m:oMath>
      </m:oMathPara>
    </w:p>
    <w:p>
      <w:pPr>
        <w:pStyle w:val="FirstParagraph"/>
      </w:pPr>
      <w:r>
        <w:t xml:space="preserve">decreases (global divergence).</w:t>
      </w:r>
    </w:p>
    <w:p>
      <w:pPr>
        <w:pStyle w:val="BodyText"/>
      </w:pPr>
      <w:r>
        <w:t xml:space="preserve">This is local coherence with global divergence: each step seems consistent with recent context while the overall direction shifts away from the original intent.</w:t>
      </w:r>
    </w:p>
    <w:bookmarkEnd w:id="38"/>
    <w:bookmarkStart w:id="39" w:name="Xeaeff19e1b221915299a79e3a8f6892889ead37"/>
    <w:p>
      <w:pPr>
        <w:pStyle w:val="Heading3"/>
      </w:pPr>
      <w:r>
        <w:t xml:space="preserve">2.2.6 Why External Measurement Becomes Necessary</w:t>
      </w:r>
    </w:p>
    <w:p>
      <w:pPr>
        <w:pStyle w:val="FirstParagraph"/>
      </w:pPr>
      <w:r>
        <w:t xml:space="preserve">The model cannot resolve this internally because:</w:t>
      </w:r>
    </w:p>
    <w:p>
      <w:pPr>
        <w:pStyle w:val="Compact"/>
        <w:numPr>
          <w:ilvl w:val="0"/>
          <w:numId w:val="1006"/>
        </w:numPr>
      </w:pPr>
      <w:r>
        <w:t xml:space="preserve">Attention operates within the context window: It lacks a way to keep stable external reference points throughout the entire session</w:t>
      </w:r>
    </w:p>
    <w:p>
      <w:pPr>
        <w:pStyle w:val="Compact"/>
        <w:numPr>
          <w:ilvl w:val="0"/>
          <w:numId w:val="1006"/>
        </w:numPr>
      </w:pPr>
      <w:r>
        <w:t xml:space="preserve">RoPE is architectural: Recency bias is part of the positional encoding setup</w:t>
      </w:r>
    </w:p>
    <w:p>
      <w:pPr>
        <w:pStyle w:val="Compact"/>
        <w:numPr>
          <w:ilvl w:val="0"/>
          <w:numId w:val="1006"/>
        </w:numPr>
      </w:pPr>
      <w:r>
        <w:t xml:space="preserve">Training optimizes for next-token prediction: Models learn patterns to maximize language modeling performance, not governance consistency</w:t>
      </w:r>
    </w:p>
    <w:p>
      <w:pPr>
        <w:pStyle w:val="FirstParagraph"/>
      </w:pPr>
      <w:r>
        <w:t xml:space="preserve">TELOS addresses this through external measurement with stable reference:</w:t>
      </w:r>
    </w:p>
    <w:p>
      <w:pPr>
        <w:pStyle w:val="BodyText"/>
      </w:pPr>
      <m:oMathPara>
        <m:oMathParaPr>
          <m:jc m:val="center"/>
        </m:oMathParaPr>
        <m:oMath>
          <m:sSub>
            <m:e>
              <m:r>
                <m:rPr>
                  <m:nor/>
                  <m:sty m:val="p"/>
                </m:rPr>
                <m:t>fidelity</m:t>
              </m:r>
            </m:e>
            <m:sub>
              <m:r>
                <m:t>t</m:t>
              </m:r>
            </m:sub>
          </m:sSub>
          <m:r>
            <m:rPr>
              <m:sty m:val="p"/>
            </m:rPr>
            <m:t>=</m:t>
          </m:r>
          <m:r>
            <m:rPr>
              <m:sty m:val="p"/>
            </m:rPr>
            <m:t>cos</m:t>
          </m:r>
          <m:r>
            <m:rPr>
              <m:sty m:val="p"/>
            </m:rPr>
            <m:t>(</m:t>
          </m:r>
          <m:sSub>
            <m:e>
              <m:r>
                <m:t>R</m:t>
              </m:r>
            </m:e>
            <m:sub>
              <m:r>
                <m:t>t</m:t>
              </m:r>
            </m:sub>
          </m:sSub>
          <m:r>
            <m:rPr>
              <m:sty m:val="p"/>
            </m:rPr>
            <m:t>,</m:t>
          </m:r>
          <m:sSub>
            <m:e>
              <m:r>
                <m:t>p</m:t>
              </m:r>
            </m:e>
            <m:sub>
              <m:r>
                <m:t>0</m:t>
              </m:r>
            </m:sub>
          </m:sSub>
          <m:r>
            <m:rPr>
              <m:sty m:val="p"/>
            </m:rPr>
            <m:t>)</m:t>
          </m:r>
          <m:r>
            <m:rPr>
              <m:sty m:val="p"/>
            </m:rPr>
            <m:t>=</m:t>
          </m:r>
          <m:f>
            <m:fPr>
              <m:type m:val="bar"/>
            </m:fPr>
            <m:num>
              <m:sSub>
                <m:e>
                  <m:r>
                    <m:t>R</m:t>
                  </m:r>
                </m:e>
                <m:sub>
                  <m:r>
                    <m:t>t</m:t>
                  </m:r>
                </m:sub>
              </m:sSub>
              <m:r>
                <m:rPr>
                  <m:sty m:val="p"/>
                </m:rPr>
                <m:t>⋅</m:t>
              </m:r>
              <m:sSub>
                <m:e>
                  <m:r>
                    <m:t>p</m:t>
                  </m:r>
                </m:e>
                <m:sub>
                  <m:r>
                    <m:t>0</m:t>
                  </m:r>
                </m:sub>
              </m:sSub>
            </m:num>
            <m:den>
              <m:r>
                <m:rPr>
                  <m:sty m:val="p"/>
                </m:rPr>
                <m:t>∥</m:t>
              </m:r>
              <m:sSub>
                <m:e>
                  <m:r>
                    <m:t>R</m:t>
                  </m:r>
                </m:e>
                <m:sub>
                  <m:r>
                    <m:t>t</m:t>
                  </m:r>
                </m:sub>
              </m:sSub>
              <m:r>
                <m:rPr>
                  <m:sty m:val="p"/>
                </m:rPr>
                <m:t>∥</m:t>
              </m:r>
              <m:r>
                <m:rPr>
                  <m:sty m:val="p"/>
                </m:rPr>
                <m:t>⋅</m:t>
              </m:r>
              <m:r>
                <m:rPr>
                  <m:sty m:val="p"/>
                </m:rPr>
                <m:t>∥</m:t>
              </m:r>
              <m:sSub>
                <m:e>
                  <m:r>
                    <m:t>p</m:t>
                  </m:r>
                </m:e>
                <m:sub>
                  <m:r>
                    <m:t>0</m:t>
                  </m:r>
                </m:sub>
              </m:sSub>
              <m:r>
                <m:rPr>
                  <m:sty m:val="p"/>
                </m:rPr>
                <m:t>∥</m:t>
              </m:r>
            </m:den>
          </m:f>
        </m:oMath>
      </m:oMathPara>
    </w:p>
    <w:p>
      <w:pPr>
        <w:pStyle w:val="FirstParagraph"/>
      </w:pPr>
      <w:r>
        <w:t xml:space="preserve">where:</w:t>
      </w:r>
      <w:r>
        <w:t xml:space="preserve"> </w:t>
      </w:r>
      <w:r>
        <w:t xml:space="preserve">-</w:t>
      </w:r>
      <w:r>
        <w:t xml:space="preserve"> </w:t>
      </w:r>
      <m:oMath>
        <m:sSub>
          <m:e>
            <m:r>
              <m:t>R</m:t>
            </m:r>
          </m:e>
          <m:sub>
            <m:r>
              <m:t>t</m:t>
            </m:r>
          </m:sub>
        </m:sSub>
      </m:oMath>
      <w:r>
        <w:t xml:space="preserve"> </w:t>
      </w:r>
      <w:r>
        <w:t xml:space="preserve">is the model’s response embedding at turn</w:t>
      </w:r>
      <w:r>
        <w:t xml:space="preserve"> </w:t>
      </w:r>
      <m:oMath>
        <m:r>
          <m:t>t</m:t>
        </m:r>
      </m:oMath>
      <w:r>
        <w:t xml:space="preserve"> </w:t>
      </w:r>
      <w:r>
        <w:t xml:space="preserve">-</w:t>
      </w:r>
      <w:r>
        <w:t xml:space="preserve"> </w:t>
      </w:r>
      <m:oMath>
        <m:sSub>
          <m:e>
            <m:r>
              <m:t>p</m:t>
            </m:r>
          </m:e>
          <m:sub>
            <m:r>
              <m:t>0</m:t>
            </m:r>
          </m:sub>
        </m:sSub>
      </m:oMath>
      <w:r>
        <w:t xml:space="preserve"> </w:t>
      </w:r>
      <w:r>
        <w:t xml:space="preserve">is the embedding of the original purpose from turn 1</w:t>
      </w:r>
      <w:r>
        <w:t xml:space="preserve"> </w:t>
      </w:r>
      <w:r>
        <w:t xml:space="preserve">-</w:t>
      </w:r>
      <w:r>
        <w:t xml:space="preserve"> </w:t>
      </w:r>
      <m:oMath>
        <m:sSub>
          <m:e>
            <m:r>
              <m:t>p</m:t>
            </m:r>
          </m:e>
          <m:sub>
            <m:r>
              <m:t>0</m:t>
            </m:r>
          </m:sub>
        </m:sSub>
      </m:oMath>
      <w:r>
        <w:t xml:space="preserve"> </w:t>
      </w:r>
      <w:r>
        <w:t xml:space="preserve">is stored externally and remains unchanged</w:t>
      </w:r>
    </w:p>
    <w:p>
      <w:pPr>
        <w:pStyle w:val="BodyText"/>
      </w:pPr>
      <w:r>
        <w:t xml:space="preserve">Critical distinction: This uses the same cosine similarity operation that attention mechanisms use internally (dot product adjusted by magnitudes), but with the original purpose vector</w:t>
      </w:r>
      <w:r>
        <w:t xml:space="preserve"> </w:t>
      </w:r>
      <m:oMath>
        <m:sSub>
          <m:e>
            <m:r>
              <m:t>p</m:t>
            </m:r>
          </m:e>
          <m:sub>
            <m:r>
              <m:t>0</m:t>
            </m:r>
          </m:sub>
        </m:sSub>
      </m:oMath>
      <w:r>
        <w:t xml:space="preserve"> </w:t>
      </w:r>
      <w:r>
        <w:t xml:space="preserve">as a stable reference instead of recent context keys</w:t>
      </w:r>
      <w:r>
        <w:t xml:space="preserve"> </w:t>
      </w:r>
      <m:oMath>
        <m:sSub>
          <m:e>
            <m:r>
              <m:t>K</m:t>
            </m:r>
          </m:e>
          <m:sub>
            <m:r>
              <m:t>t</m:t>
            </m:r>
            <m:r>
              <m:rPr>
                <m:sty m:val="p"/>
              </m:rPr>
              <m:t>−</m:t>
            </m:r>
            <m:r>
              <m:t>5</m:t>
            </m:r>
            <m:r>
              <m:rPr>
                <m:sty m:val="p"/>
              </m:rPr>
              <m:t>.</m:t>
            </m:r>
            <m:r>
              <m:rPr>
                <m:sty m:val="p"/>
              </m:rPr>
              <m:t>.</m:t>
            </m:r>
            <m:r>
              <m:rPr>
                <m:sty m:val="p"/>
              </m:rPr>
              <m:t>.</m:t>
            </m:r>
            <m:r>
              <m:t>t</m:t>
            </m:r>
            <m:r>
              <m:rPr>
                <m:sty m:val="p"/>
              </m:rPr>
              <m:t>−</m:t>
            </m:r>
            <m:r>
              <m:t>1</m:t>
            </m:r>
          </m:sub>
        </m:sSub>
      </m:oMath>
      <w:r>
        <w:t xml:space="preserve">.</w:t>
      </w:r>
    </w:p>
    <w:p>
      <w:pPr>
        <w:pStyle w:val="BodyText"/>
      </w:pPr>
      <w:r>
        <w:t xml:space="preserve">We are not adding new capabilities; we are correcting the reference point.</w:t>
      </w:r>
    </w:p>
    <w:bookmarkEnd w:id="39"/>
    <w:bookmarkStart w:id="40" w:name="why-cosine-similarity-is-not-arbitrary"/>
    <w:p>
      <w:pPr>
        <w:pStyle w:val="Heading3"/>
      </w:pPr>
      <w:r>
        <w:t xml:space="preserve">2.2.7 Why Cosine Similarity Is Not Arbitrary</w:t>
      </w:r>
    </w:p>
    <w:p>
      <w:pPr>
        <w:pStyle w:val="FirstParagraph"/>
      </w:pPr>
      <w:r>
        <w:t xml:space="preserve">TELOS uses cosine similarity for fidelity measurement because it is the model’s own calculation method. When transformers compute QK^T, they perform dot product similarity.</w:t>
      </w:r>
    </w:p>
    <w:p>
      <w:pPr>
        <w:pStyle w:val="BodyText"/>
      </w:pPr>
      <w:r>
        <w:t xml:space="preserve">The only difference:</w:t>
      </w:r>
    </w:p>
    <w:p>
      <w:pPr>
        <w:pStyle w:val="BodyText"/>
      </w:pPr>
      <w:r>
        <w:t xml:space="preserve">Attention (internal):</w:t>
      </w:r>
      <w:r>
        <w:t xml:space="preserve"> </w:t>
      </w:r>
      <m:oMath>
        <m:r>
          <m:rPr>
            <m:nor/>
            <m:sty m:val="p"/>
          </m:rPr>
          <m:t>score</m:t>
        </m:r>
        <m:r>
          <m:rPr>
            <m:sty m:val="p"/>
          </m:rPr>
          <m:t>=</m:t>
        </m:r>
        <m:r>
          <m:t>Q</m:t>
        </m:r>
        <m:r>
          <m:rPr>
            <m:sty m:val="p"/>
          </m:rPr>
          <m:t>⋅</m:t>
        </m:r>
        <m:sSup>
          <m:e>
            <m:r>
              <m:t>K</m:t>
            </m:r>
          </m:e>
          <m:sup>
            <m:r>
              <m:t>T</m:t>
            </m:r>
          </m:sup>
        </m:sSup>
        <m:r>
          <m:rPr>
            <m:sty m:val="p"/>
          </m:rPr>
          <m:t>/</m:t>
        </m:r>
        <m:rad>
          <m:radPr>
            <m:degHide m:val="on"/>
          </m:radPr>
          <m:deg/>
          <m:e>
            <m:sSub>
              <m:e>
                <m:r>
                  <m:t>d</m:t>
                </m:r>
              </m:e>
              <m:sub>
                <m:r>
                  <m:t>k</m:t>
                </m:r>
              </m:sub>
            </m:sSub>
          </m:e>
        </m:rad>
      </m:oMath>
    </w:p>
    <w:p>
      <w:pPr>
        <w:pStyle w:val="BodyText"/>
      </w:pPr>
      <w:r>
        <w:t xml:space="preserve">TELOS (external):</w:t>
      </w:r>
      <w:r>
        <w:t xml:space="preserve"> </w:t>
      </w:r>
      <m:oMath>
        <m:r>
          <m:rPr>
            <m:nor/>
            <m:sty m:val="p"/>
          </m:rPr>
          <m:t>fidelity</m:t>
        </m:r>
        <m:r>
          <m:rPr>
            <m:sty m:val="p"/>
          </m:rPr>
          <m:t>=</m:t>
        </m:r>
        <m:r>
          <m:rPr>
            <m:sty m:val="p"/>
          </m:rPr>
          <m:t>(</m:t>
        </m:r>
        <m:r>
          <m:t>R</m:t>
        </m:r>
        <m:r>
          <m:rPr>
            <m:sty m:val="p"/>
          </m:rPr>
          <m:t>⋅</m:t>
        </m:r>
        <m:r>
          <m:t>P</m:t>
        </m:r>
        <m:r>
          <m:rPr>
            <m:sty m:val="p"/>
          </m:rPr>
          <m:t>)</m:t>
        </m:r>
        <m:r>
          <m:rPr>
            <m:sty m:val="p"/>
          </m:rPr>
          <m:t>/</m:t>
        </m:r>
        <m:r>
          <m:rPr>
            <m:sty m:val="p"/>
          </m:rPr>
          <m:t>(</m:t>
        </m:r>
        <m:r>
          <m:rPr>
            <m:sty m:val="p"/>
          </m:rPr>
          <m:t>∥</m:t>
        </m:r>
        <m:r>
          <m:t>R</m:t>
        </m:r>
        <m:r>
          <m:rPr>
            <m:sty m:val="p"/>
          </m:rPr>
          <m:t>∥</m:t>
        </m:r>
        <m:r>
          <m:rPr>
            <m:sty m:val="p"/>
          </m:rPr>
          <m:t>⋅</m:t>
        </m:r>
        <m:r>
          <m:rPr>
            <m:sty m:val="p"/>
          </m:rPr>
          <m:t>∥</m:t>
        </m:r>
        <m:r>
          <m:t>P</m:t>
        </m:r>
        <m:r>
          <m:rPr>
            <m:sty m:val="p"/>
          </m:rPr>
          <m:t>∥</m:t>
        </m:r>
        <m:r>
          <m:rPr>
            <m:sty m:val="p"/>
          </m:rPr>
          <m:t>)</m:t>
        </m:r>
      </m:oMath>
    </w:p>
    <w:p>
      <w:pPr>
        <w:pStyle w:val="BodyText"/>
      </w:pPr>
      <w:r>
        <w:t xml:space="preserve">Both assess directional alignment. TELOS adjusts for vector magnitudes (making it true cosine similarity) and uses a stable reference (</w:t>
      </w:r>
      <m:oMath>
        <m:sSub>
          <m:e>
            <m:r>
              <m:t>P</m:t>
            </m:r>
          </m:e>
          <m:sub>
            <m:r>
              <m:t>0</m:t>
            </m:r>
          </m:sub>
        </m:sSub>
      </m:oMath>
      <w:r>
        <w:t xml:space="preserve"> </w:t>
      </w:r>
      <w:r>
        <w:t xml:space="preserve">versus recent</w:t>
      </w:r>
      <w:r>
        <w:t xml:space="preserve"> </w:t>
      </w:r>
      <m:oMath>
        <m:sSub>
          <m:e>
            <m:r>
              <m:t>K</m:t>
            </m:r>
          </m:e>
          <m:sub>
            <m:r>
              <m:t>i</m:t>
            </m:r>
          </m:sub>
        </m:sSub>
      </m:oMath>
      <w:r>
        <w:t xml:space="preserve">).</w:t>
      </w:r>
    </w:p>
    <w:p>
      <w:pPr>
        <w:pStyle w:val="BodyText"/>
      </w:pPr>
      <w:r>
        <w:t xml:space="preserve">We use the language model’s native similarity metric, just with the correct reference point.</w:t>
      </w:r>
    </w:p>
    <w:bookmarkEnd w:id="40"/>
    <w:bookmarkStart w:id="41" w:name="empirical-predictions"/>
    <w:p>
      <w:pPr>
        <w:pStyle w:val="Heading3"/>
      </w:pPr>
      <w:r>
        <w:t xml:space="preserve">2.2.8 Empirical Predictions</w:t>
      </w:r>
    </w:p>
    <w:p>
      <w:pPr>
        <w:pStyle w:val="FirstParagraph"/>
      </w:pPr>
      <w:r>
        <w:t xml:space="preserve">This analysis leads to testable predictions:</w:t>
      </w:r>
    </w:p>
    <w:p>
      <w:pPr>
        <w:pStyle w:val="BodyText"/>
      </w:pPr>
      <w:r>
        <w:t xml:space="preserve">Prediction 1: Fidelity loss should connect with attention weight shifts toward recent context. Sessions where attention focuses more on the last 5-10 turns should show quicker drift.</w:t>
      </w:r>
    </w:p>
    <w:p>
      <w:pPr>
        <w:pStyle w:val="BodyText"/>
      </w:pPr>
      <w:r>
        <w:t xml:space="preserve">Prediction 2: Changes that artificially boost attention weight on turn-1 constraints (like repeating them in context or enhancing their positional encoding) should lessen fidelity loss, even without TELOS measurement.</w:t>
      </w:r>
    </w:p>
    <w:p>
      <w:pPr>
        <w:pStyle w:val="BodyText"/>
      </w:pPr>
      <w:r>
        <w:t xml:space="preserve">Prediction 3: Models with weaker recency bias (for example, attention tweaks that flatten positional decay) should maintain better baseline fidelity.</w:t>
      </w:r>
    </w:p>
    <w:p>
      <w:pPr>
        <w:pStyle w:val="BodyText"/>
      </w:pPr>
      <w:r>
        <w:t xml:space="preserve">These predictions will be evaluated in the validation framework outlined in Section 4.</w:t>
      </w:r>
    </w:p>
    <w:bookmarkEnd w:id="41"/>
    <w:bookmarkStart w:id="42" w:name="implications-for-governance"/>
    <w:p>
      <w:pPr>
        <w:pStyle w:val="Heading3"/>
      </w:pPr>
      <w:r>
        <w:t xml:space="preserve">2.2.9 Implications for Governance</w:t>
      </w:r>
    </w:p>
    <w:p>
      <w:pPr>
        <w:pStyle w:val="FirstParagraph"/>
      </w:pPr>
      <w:r>
        <w:t xml:space="preserve">This analysis shows why past strategies fail:</w:t>
      </w:r>
    </w:p>
    <w:p>
      <w:pPr>
        <w:pStyle w:val="BodyText"/>
      </w:pPr>
      <w:r>
        <w:t xml:space="preserve">Prompt engineering (</w:t>
      </w:r>
      <w:r>
        <w:t xml:space="preserve">“Please remember to follow these rules…”</w:t>
      </w:r>
      <w:r>
        <w:t xml:space="preserve">) adds limits to context but does not stop attention from shifting toward recent turns. The constraints are present in</w:t>
      </w:r>
      <w:r>
        <w:t xml:space="preserve"> </w:t>
      </w:r>
      <m:oMath>
        <m:sSub>
          <m:e>
            <m:r>
              <m:t>K</m:t>
            </m:r>
          </m:e>
          <m:sub>
            <m:r>
              <m:t>1</m:t>
            </m:r>
          </m:sub>
        </m:sSub>
      </m:oMath>
      <w:r>
        <w:t xml:space="preserve">, but</w:t>
      </w:r>
      <w:r>
        <w:t xml:space="preserve"> </w:t>
      </w:r>
      <m:oMath>
        <m:sSub>
          <m:e>
            <m:r>
              <m:t>α</m:t>
            </m:r>
          </m:e>
          <m:sub>
            <m:r>
              <m:t>t</m:t>
            </m:r>
            <m:r>
              <m:rPr>
                <m:sty m:val="p"/>
              </m:rPr>
              <m:t>,</m:t>
            </m:r>
            <m:r>
              <m:t>1</m:t>
            </m:r>
          </m:sub>
        </m:sSub>
        <m:r>
          <m:rPr>
            <m:sty m:val="p"/>
          </m:rPr>
          <m:t>→</m:t>
        </m:r>
        <m:r>
          <m:t>0</m:t>
        </m:r>
      </m:oMath>
      <w:r>
        <w:t xml:space="preserve"> </w:t>
      </w:r>
      <w:r>
        <w:t xml:space="preserve">as</w:t>
      </w:r>
      <w:r>
        <w:t xml:space="preserve"> </w:t>
      </w:r>
      <m:oMath>
        <m:r>
          <m:t>t</m:t>
        </m:r>
      </m:oMath>
      <w:r>
        <w:t xml:space="preserve"> </w:t>
      </w:r>
      <w:r>
        <w:t xml:space="preserve">grows.</w:t>
      </w:r>
    </w:p>
    <w:p>
      <w:pPr>
        <w:pStyle w:val="BodyText"/>
      </w:pPr>
      <w:r>
        <w:t xml:space="preserve">Constitutional AI and system prompts set universal safety boundaries but function at the model level, not the session level. They cannot encode user-specific constraints made during the session.</w:t>
      </w:r>
    </w:p>
    <w:p>
      <w:pPr>
        <w:pStyle w:val="BodyText"/>
      </w:pPr>
      <w:r>
        <w:t xml:space="preserve">Periodic reminders reintroduce constraints into context but do so at a fixed rate instead of in response to detected drift, resulting in both over-correction (when alignment is good) and under-correction (when drift is rapid).</w:t>
      </w:r>
    </w:p>
    <w:p>
      <w:pPr>
        <w:pStyle w:val="BodyText"/>
      </w:pPr>
      <w:r>
        <w:t xml:space="preserve">TELOS provides ongoing measurement against a stable reference, allowing proportional correction based on actual drift instead of assumed timing.</w:t>
      </w:r>
    </w:p>
    <w:p>
      <w:r>
        <w:pict>
          <v:rect style="width:0;height:1.5pt" o:hralign="center" o:hrstd="t" o:hr="t"/>
        </w:pict>
      </w:r>
    </w:p>
    <w:p>
      <w:pPr>
        <w:pStyle w:val="FirstParagraph"/>
      </w:pPr>
      <w:r>
        <w:t xml:space="preserve">Key Takeaway: Modern LLMs constantly compute similarity through attention mechanisms billions of times during generation. The problem is not their ability to measure similarity; it lies in their tendency to measure it against a drifting reference point caused by architectural recency bias. TELOS maintains the original purpose embedding as an external, stable reference and uses the same cosine similarity operation that attention mechanisms apply internally, correcting the reference point rather than the measurement method.</w:t>
      </w:r>
    </w:p>
    <w:p>
      <w:r>
        <w:pict>
          <v:rect style="width:0;height:1.5pt" o:hralign="center" o:hrstd="t" o:hr="t"/>
        </w:pict>
      </w:r>
    </w:p>
    <w:bookmarkEnd w:id="42"/>
    <w:bookmarkStart w:id="46" w:name="X91acfa174ce04a8cb95dd935dfc565a301e19d0"/>
    <w:p>
      <w:pPr>
        <w:pStyle w:val="Heading3"/>
      </w:pPr>
      <w:r>
        <w:t xml:space="preserve">2.3 Architectural Positioning: The Orchestration Layer</w:t>
      </w:r>
    </w:p>
    <w:p>
      <w:pPr>
        <w:pStyle w:val="CaptionedFigure"/>
      </w:pPr>
      <w:r>
        <w:drawing>
          <wp:inline>
            <wp:extent cx="5334000" cy="4373217"/>
            <wp:effectExtent b="0" l="0" r="0" t="0"/>
            <wp:docPr descr="Figure 1: Three-Tier Defense Architecture. TELOS operates at the orchestration layer, enforcing governance through PA-based fidelity measurement, RAG-augmented policy retrieval, and human escalation pathways." title="" id="44" name="Picture"/>
            <a:graphic>
              <a:graphicData uri="http://schemas.openxmlformats.org/drawingml/2006/picture">
                <pic:pic>
                  <pic:nvPicPr>
                    <pic:cNvPr descr="diagrams/fig1_three_tier_governance.pdf" id="45" name="Picture"/>
                    <pic:cNvPicPr>
                      <a:picLocks noChangeArrowheads="1" noChangeAspect="1"/>
                    </pic:cNvPicPr>
                  </pic:nvPicPr>
                  <pic:blipFill>
                    <a:blip r:embed="rId43"/>
                    <a:stretch>
                      <a:fillRect/>
                    </a:stretch>
                  </pic:blipFill>
                  <pic:spPr bwMode="auto">
                    <a:xfrm>
                      <a:off x="0" y="0"/>
                      <a:ext cx="5334000" cy="4373217"/>
                    </a:xfrm>
                    <a:prstGeom prst="rect">
                      <a:avLst/>
                    </a:prstGeom>
                    <a:noFill/>
                    <a:ln w="9525">
                      <a:noFill/>
                      <a:headEnd/>
                      <a:tailEnd/>
                    </a:ln>
                  </pic:spPr>
                </pic:pic>
              </a:graphicData>
            </a:graphic>
          </wp:inline>
        </w:drawing>
      </w:r>
    </w:p>
    <w:p>
      <w:pPr>
        <w:pStyle w:val="ImageCaption"/>
      </w:pPr>
      <w:r>
        <w:t xml:space="preserve">Figure 1: Three-Tier Defense Architecture. TELOS operates at the orchestration layer, enforcing governance through PA-based fidelity measurement, RAG-augmented policy retrieval, and human escalation pathways.</w:t>
      </w:r>
    </w:p>
    <w:p>
      <w:pPr>
        <w:pStyle w:val="BodyText"/>
      </w:pPr>
      <w:r>
        <w:t xml:space="preserve">TELOS functions at the orchestration layer, the middleware between applications and frontier LLMs:</w:t>
      </w:r>
    </w:p>
    <w:p>
      <w:pPr>
        <w:pStyle w:val="BodyText"/>
      </w:pPr>
      <w:r>
        <w:t xml:space="preserve">[Application Layer]</w:t>
      </w:r>
      <w:r>
        <w:t xml:space="preserve"> </w:t>
      </w:r>
      <w:r>
        <w:t xml:space="preserve">↓</w:t>
      </w:r>
      <w:r>
        <w:t xml:space="preserve"> </w:t>
      </w:r>
      <w:r>
        <w:t xml:space="preserve">[TELOS Orchestration Layer] ← Governance infrastructure operates here</w:t>
      </w:r>
      <w:r>
        <w:t xml:space="preserve"> </w:t>
      </w:r>
      <w:r>
        <w:t xml:space="preserve">├── Primacy Attractor (Human-defined constitutional law)</w:t>
      </w:r>
      <w:r>
        <w:t xml:space="preserve"> </w:t>
      </w:r>
      <w:r>
        <w:t xml:space="preserve">├── Fidelity Measurement (Continuous</w:t>
      </w:r>
      <w:r>
        <w:t xml:space="preserve"> </w:t>
      </w:r>
      <m:oMath>
        <m:sSub>
          <m:e>
            <m:r>
              <m:t>f</m:t>
            </m:r>
          </m:e>
          <m:sub>
            <m:r>
              <m:t>t</m:t>
            </m:r>
          </m:sub>
        </m:sSub>
      </m:oMath>
      <w:r>
        <w:t xml:space="preserve"> </w:t>
      </w:r>
      <w:r>
        <w:t xml:space="preserve">monitoring)</w:t>
      </w:r>
      <w:r>
        <w:t xml:space="preserve"> </w:t>
      </w:r>
      <w:r>
        <w:t xml:space="preserve">├── Proportional Control (</w:t>
      </w:r>
      <m:oMath>
        <m:sSub>
          <m:e>
            <m:r>
              <m:t>F</m:t>
            </m:r>
          </m:e>
          <m:sub>
            <m:r>
              <m:t>t</m:t>
            </m:r>
          </m:sub>
        </m:sSub>
        <m:r>
          <m:rPr>
            <m:sty m:val="p"/>
          </m:rPr>
          <m:t>=</m:t>
        </m:r>
        <m:r>
          <m:t>K</m:t>
        </m:r>
        <m:r>
          <m:rPr>
            <m:sty m:val="p"/>
          </m:rPr>
          <m:t>⋅</m:t>
        </m:r>
        <m:sSub>
          <m:e>
            <m:r>
              <m:t>e</m:t>
            </m:r>
          </m:e>
          <m:sub>
            <m:r>
              <m:t>t</m:t>
            </m:r>
          </m:sub>
        </m:sSub>
      </m:oMath>
      <w:r>
        <w:t xml:space="preserve"> </w:t>
      </w:r>
      <w:r>
        <w:t xml:space="preserve">enforcement)</w:t>
      </w:r>
      <w:r>
        <w:t xml:space="preserve"> </w:t>
      </w:r>
      <w:r>
        <w:t xml:space="preserve">└── LLM Interface (API routing)</w:t>
      </w:r>
      <w:r>
        <w:t xml:space="preserve"> </w:t>
      </w:r>
      <w:r>
        <w:t xml:space="preserve">↓</w:t>
      </w:r>
      <w:r>
        <w:t xml:space="preserve"> </w:t>
      </w:r>
      <w:r>
        <w:t xml:space="preserve">[Frontier LLM API] (OpenAI, Anthropic, Mistral, etc.)</w:t>
      </w:r>
      <w:r>
        <w:t xml:space="preserve"> </w:t>
      </w:r>
      <w:r>
        <w:t xml:space="preserve">↓</w:t>
      </w:r>
      <w:r>
        <w:t xml:space="preserve"> </w:t>
      </w:r>
      <w:r>
        <w:t xml:space="preserve">[Native Model] (Unmodified)</w:t>
      </w:r>
    </w:p>
    <w:p>
      <w:pPr>
        <w:pStyle w:val="BodyText"/>
      </w:pPr>
      <w:r>
        <w:t xml:space="preserve">Why Orchestration Layer Governance:</w:t>
      </w:r>
    </w:p>
    <w:p>
      <w:pPr>
        <w:pStyle w:val="Compact"/>
        <w:numPr>
          <w:ilvl w:val="0"/>
          <w:numId w:val="1007"/>
        </w:numPr>
      </w:pPr>
      <w:r>
        <w:t xml:space="preserve">No Model Modification: Works with any LLM without retraining.</w:t>
      </w:r>
    </w:p>
    <w:p>
      <w:pPr>
        <w:pStyle w:val="Compact"/>
        <w:numPr>
          <w:ilvl w:val="0"/>
          <w:numId w:val="1007"/>
        </w:numPr>
      </w:pPr>
      <w:r>
        <w:t xml:space="preserve">Real-time Intervention: Governance is applied before responses are delivered.</w:t>
      </w:r>
    </w:p>
    <w:p>
      <w:pPr>
        <w:pStyle w:val="Compact"/>
        <w:numPr>
          <w:ilvl w:val="0"/>
          <w:numId w:val="1007"/>
        </w:numPr>
      </w:pPr>
      <w:r>
        <w:t xml:space="preserve">Provider Agnostic: Same governance applies across OpenAI, Anthropic, and Meta.</w:t>
      </w:r>
    </w:p>
    <w:p>
      <w:pPr>
        <w:pStyle w:val="Compact"/>
        <w:numPr>
          <w:ilvl w:val="0"/>
          <w:numId w:val="1007"/>
        </w:numPr>
      </w:pPr>
      <w:r>
        <w:t xml:space="preserve">Audit Trail: Complete telemetry is independent of the model provider.</w:t>
      </w:r>
    </w:p>
    <w:p>
      <w:pPr>
        <w:pStyle w:val="Compact"/>
        <w:numPr>
          <w:ilvl w:val="0"/>
          <w:numId w:val="1007"/>
        </w:numPr>
      </w:pPr>
      <w:r>
        <w:t xml:space="preserve">Regulatory Compliance: Generates documentation required by Article 72.</w:t>
      </w:r>
    </w:p>
    <w:p>
      <w:pPr>
        <w:pStyle w:val="FirstParagraph"/>
      </w:pPr>
      <w:r>
        <w:t xml:space="preserve">The proportional control system acts as a Primacy Governor. It measures every API call against human-defined constitutional constraints and intervenes when mathematical drift exceeds thresholds.</w:t>
      </w:r>
    </w:p>
    <w:p>
      <w:pPr>
        <w:pStyle w:val="BodyText"/>
      </w:pPr>
      <w:r>
        <w:t xml:space="preserve">This is fundamentally different from:</w:t>
      </w:r>
      <w:r>
        <w:t xml:space="preserve"> </w:t>
      </w:r>
      <w:r>
        <w:t xml:space="preserve">- Prompt engineering (operates at request time, with no continuous measurement)</w:t>
      </w:r>
      <w:r>
        <w:t xml:space="preserve"> </w:t>
      </w:r>
      <w:r>
        <w:t xml:space="preserve">- Fine-tuning (modifies model weights, specific to the provider)</w:t>
      </w:r>
      <w:r>
        <w:t xml:space="preserve"> </w:t>
      </w:r>
      <w:r>
        <w:t xml:space="preserve">- Constitutional AI (trains models with constitutional preferences)</w:t>
      </w:r>
    </w:p>
    <w:p>
      <w:pPr>
        <w:pStyle w:val="BodyText"/>
      </w:pPr>
      <w:r>
        <w:t xml:space="preserve">TELOS enforces governance architecturally, making it a compliance infrastructure layer instead of a model feature. Organizations keep governance even when switching LLM providers, and telemetry stays consistent across all backend models.</w:t>
      </w:r>
    </w:p>
    <w:p>
      <w:pPr>
        <w:pStyle w:val="BodyText"/>
      </w:pPr>
      <w:r>
        <w:t xml:space="preserve">This architectural approach directly addresses SB 53’s requirement for active governance mechanisms that continue through model updates, provider changes, and deployment contexts.</w:t>
      </w:r>
    </w:p>
    <w:bookmarkEnd w:id="46"/>
    <w:bookmarkStart w:id="47" w:name="X901e637d8a517cbf5e45093e2eeeffd882cc269"/>
    <w:p>
      <w:pPr>
        <w:pStyle w:val="Heading3"/>
      </w:pPr>
      <w:r>
        <w:t xml:space="preserve">2.4 The Dual Formalism: Control Theory and Dynamical Systems</w:t>
      </w:r>
    </w:p>
    <w:p>
      <w:pPr>
        <w:pStyle w:val="FirstParagraph"/>
      </w:pPr>
      <w:r>
        <w:t xml:space="preserve">Proportional control provides the operational rule, showing how corrections are computed and applied. Attractor dynamics gives the mathematical description, explaining why the system converges and remains stable.</w:t>
      </w:r>
    </w:p>
    <w:p>
      <w:pPr>
        <w:pStyle w:val="BodyText"/>
      </w:pPr>
      <w:r>
        <w:t xml:space="preserve">These are not alternatives but complementary views on the same mathematics:</w:t>
      </w:r>
      <w:r>
        <w:t xml:space="preserve"> </w:t>
      </w:r>
      <w:r>
        <w:t xml:space="preserve">- Proportional control defines:</w:t>
      </w:r>
      <w:r>
        <w:t xml:space="preserve"> </w:t>
      </w:r>
      <m:oMath>
        <m:r>
          <m:t>F</m:t>
        </m:r>
        <m:r>
          <m:rPr>
            <m:sty m:val="p"/>
          </m:rPr>
          <m:t>=</m:t>
        </m:r>
        <m:r>
          <m:rPr>
            <m:sty m:val="p"/>
          </m:rPr>
          <m:t>−</m:t>
        </m:r>
        <m:r>
          <m:t>K</m:t>
        </m:r>
        <m:r>
          <m:rPr>
            <m:sty m:val="p"/>
          </m:rPr>
          <m:t>⋅</m:t>
        </m:r>
        <m:r>
          <m:t>e</m:t>
        </m:r>
      </m:oMath>
      <w:r>
        <w:t xml:space="preserve"> </w:t>
      </w:r>
      <w:r>
        <w:t xml:space="preserve">(correction force proportional to error)</w:t>
      </w:r>
      <w:r>
        <w:t xml:space="preserve"> </w:t>
      </w:r>
      <w:r>
        <w:t xml:space="preserve">- Attractor dynamics describes:</w:t>
      </w:r>
      <w:r>
        <w:t xml:space="preserve"> </w:t>
      </w:r>
      <m:oMath>
        <m:acc>
          <m:accPr>
            <m:chr m:val="̂"/>
          </m:accPr>
          <m:e>
            <m:r>
              <m:t>a</m:t>
            </m:r>
          </m:e>
        </m:acc>
      </m:oMath>
      <w:r>
        <w:t xml:space="preserve"> </w:t>
      </w:r>
      <w:r>
        <w:t xml:space="preserve">as a stable equilibrium with basin</w:t>
      </w:r>
      <w:r>
        <w:t xml:space="preserve"> </w:t>
      </w:r>
      <m:oMath>
        <m:r>
          <m:t>B</m:t>
        </m:r>
        <m:r>
          <m:rPr>
            <m:sty m:val="p"/>
          </m:rPr>
          <m:t>(</m:t>
        </m:r>
        <m:acc>
          <m:accPr>
            <m:chr m:val="̂"/>
          </m:accPr>
          <m:e>
            <m:r>
              <m:t>a</m:t>
            </m:r>
          </m:e>
        </m:acc>
        <m:r>
          <m:rPr>
            <m:sty m:val="p"/>
          </m:rPr>
          <m:t>,</m:t>
        </m:r>
        <m:r>
          <m:t>r</m:t>
        </m:r>
        <m:r>
          <m:rPr>
            <m:sty m:val="p"/>
          </m:rPr>
          <m:t>)</m:t>
        </m:r>
      </m:oMath>
      <w:r>
        <w:t xml:space="preserve"> </w:t>
      </w:r>
      <w:r>
        <w:t xml:space="preserve">- Lyapunov analysis confirms:</w:t>
      </w:r>
      <w:r>
        <w:t xml:space="preserve"> </w:t>
      </w:r>
      <m:oMath>
        <m:r>
          <m:t>V</m:t>
        </m:r>
        <m:r>
          <m:rPr>
            <m:sty m:val="p"/>
          </m:rPr>
          <m:t>(</m:t>
        </m:r>
        <m:r>
          <m:t>x</m:t>
        </m:r>
        <m:r>
          <m:rPr>
            <m:sty m:val="p"/>
          </m:rPr>
          <m:t>)</m:t>
        </m:r>
      </m:oMath>
      <w:r>
        <w:t xml:space="preserve"> </w:t>
      </w:r>
      <w:r>
        <w:t xml:space="preserve">decreases, showing convergence</w:t>
      </w:r>
    </w:p>
    <w:p>
      <w:pPr>
        <w:pStyle w:val="BodyText"/>
      </w:pPr>
      <w:r>
        <w:t xml:space="preserve">The same mathematical principles that ensure quality stability in manufacturing processes (Shewhart, 1931; Montgomery, 2020) apply here in semantic space.</w:t>
      </w:r>
    </w:p>
    <w:p>
      <w:pPr>
        <w:pStyle w:val="BodyText"/>
      </w:pPr>
      <w:r>
        <w:t xml:space="preserve">This creates a continuous, auditable framework for process control in linguistic systems. It connects TELOS directly to established control theory (Ogata, 2009; Khalil, 2002) and the analysis of dynamical systems (Strogatz, 2014; Hopfield, 1982).</w:t>
      </w:r>
    </w:p>
    <w:p>
      <w:pPr>
        <w:pStyle w:val="BodyText"/>
      </w:pPr>
      <w:r>
        <w:t xml:space="preserve">The contribution is not in inventing new mathematics, but in applying proven methods to a previously unmanaged area: maintaining runtime governance constraints across transformer interactions.</w:t>
      </w:r>
    </w:p>
    <w:bookmarkEnd w:id="47"/>
    <w:bookmarkStart w:id="48" w:name="X34e22e2c91f2d784dd119516bd64deaa30582a8"/>
    <w:p>
      <w:pPr>
        <w:pStyle w:val="Heading3"/>
      </w:pPr>
      <w:r>
        <w:t xml:space="preserve">2.5 Fidelity Measurement: Continuous Adherence Tracking</w:t>
      </w:r>
    </w:p>
    <w:p>
      <w:pPr>
        <w:pStyle w:val="FirstParagraph"/>
      </w:pPr>
      <w:r>
        <w:t xml:space="preserve">Using cosine similarity from information theory (Cover &amp; Thomas, 2006), we measure alignment:</w:t>
      </w:r>
    </w:p>
    <w:p>
      <w:pPr>
        <w:pStyle w:val="BodyText"/>
      </w:pPr>
      <m:oMathPara>
        <m:oMathParaPr>
          <m:jc m:val="center"/>
        </m:oMathParaPr>
        <m:oMath>
          <m:sSub>
            <m:e>
              <m:r>
                <m:t>I</m:t>
              </m:r>
            </m:e>
            <m:sub>
              <m:r>
                <m:t>t</m:t>
              </m:r>
            </m:sub>
          </m:sSub>
          <m:r>
            <m:rPr>
              <m:sty m:val="p"/>
            </m:rPr>
            <m:t>=</m:t>
          </m:r>
          <m:r>
            <m:rPr>
              <m:sty m:val="p"/>
            </m:rPr>
            <m:t>cos</m:t>
          </m:r>
          <m:r>
            <m:rPr>
              <m:sty m:val="p"/>
            </m:rPr>
            <m:t>(</m:t>
          </m:r>
          <m:sSub>
            <m:e>
              <m:r>
                <m:t>x</m:t>
              </m:r>
            </m:e>
            <m:sub>
              <m:r>
                <m:t>t</m:t>
              </m:r>
            </m:sub>
          </m:sSub>
          <m:r>
            <m:rPr>
              <m:sty m:val="p"/>
            </m:rPr>
            <m:t>,</m:t>
          </m:r>
          <m:r>
            <m:t>p</m:t>
          </m:r>
          <m:r>
            <m:rPr>
              <m:sty m:val="p"/>
            </m:rPr>
            <m:t>)</m:t>
          </m:r>
          <m:r>
            <m:rPr>
              <m:sty m:val="p"/>
            </m:rPr>
            <m:t>=</m:t>
          </m:r>
          <m:f>
            <m:fPr>
              <m:type m:val="bar"/>
            </m:fPr>
            <m:num>
              <m:sSub>
                <m:e>
                  <m:r>
                    <m:t>x</m:t>
                  </m:r>
                </m:e>
                <m:sub>
                  <m:r>
                    <m:t>t</m:t>
                  </m:r>
                </m:sub>
              </m:sSub>
              <m:r>
                <m:rPr>
                  <m:sty m:val="p"/>
                </m:rPr>
                <m:t>⋅</m:t>
              </m:r>
              <m:r>
                <m:t>p</m:t>
              </m:r>
            </m:num>
            <m:den>
              <m:r>
                <m:rPr>
                  <m:sty m:val="p"/>
                </m:rPr>
                <m:t>|</m:t>
              </m:r>
              <m:sSub>
                <m:e>
                  <m:r>
                    <m:t>x</m:t>
                  </m:r>
                </m:e>
                <m:sub>
                  <m:r>
                    <m:t>t</m:t>
                  </m:r>
                </m:sub>
              </m:sSub>
              <m:r>
                <m:rPr>
                  <m:sty m:val="p"/>
                </m:rPr>
                <m:t>|</m:t>
              </m:r>
              <m:r>
                <m:rPr>
                  <m:sty m:val="p"/>
                </m:rPr>
                <m:t>⋅</m:t>
              </m:r>
              <m:r>
                <m:rPr>
                  <m:sty m:val="p"/>
                </m:rPr>
                <m:t>|</m:t>
              </m:r>
              <m:r>
                <m:t>p</m:t>
              </m:r>
              <m:r>
                <m:rPr>
                  <m:sty m:val="p"/>
                </m:rPr>
                <m:t>|</m:t>
              </m:r>
            </m:den>
          </m:f>
        </m:oMath>
      </m:oMathPara>
    </w:p>
    <w:p>
      <w:pPr>
        <w:pStyle w:val="FirstParagraph"/>
      </w:pPr>
      <m:oMathPara>
        <m:oMathParaPr>
          <m:jc m:val="center"/>
        </m:oMathParaPr>
        <m:oMath>
          <m:r>
            <m:t>F</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I</m:t>
                  </m:r>
                </m:e>
                <m:sub>
                  <m:r>
                    <m:t>t</m:t>
                  </m:r>
                </m:sub>
              </m:sSub>
            </m:e>
          </m:nary>
        </m:oMath>
      </m:oMathPara>
    </w:p>
    <w:p>
      <w:pPr>
        <w:pStyle w:val="FirstParagraph"/>
      </w:pPr>
      <w:r>
        <w:t xml:space="preserve">where:</w:t>
      </w:r>
      <w:r>
        <w:t xml:space="preserve"> </w:t>
      </w:r>
      <w:r>
        <w:t xml:space="preserve">-</w:t>
      </w:r>
      <w:r>
        <w:t xml:space="preserve"> </w:t>
      </w:r>
      <m:oMath>
        <m:sSub>
          <m:e>
            <m:r>
              <m:t>I</m:t>
            </m:r>
          </m:e>
          <m:sub>
            <m:r>
              <m:t>t</m:t>
            </m:r>
          </m:sub>
        </m:sSub>
      </m:oMath>
      <w:r>
        <w:t xml:space="preserve"> </w:t>
      </w:r>
      <w:r>
        <w:t xml:space="preserve">is instantaneous fidelity at turn</w:t>
      </w:r>
      <w:r>
        <w:t xml:space="preserve"> </w:t>
      </w:r>
      <m:oMath>
        <m:r>
          <m:t>t</m:t>
        </m:r>
      </m:oMath>
      <w:r>
        <w:t xml:space="preserve"> </w:t>
      </w:r>
      <w:r>
        <w:t xml:space="preserve">-</w:t>
      </w:r>
      <w:r>
        <w:t xml:space="preserve"> </w:t>
      </w:r>
      <m:oMath>
        <m:r>
          <m:t>F</m:t>
        </m:r>
      </m:oMath>
      <w:r>
        <w:t xml:space="preserve"> </w:t>
      </w:r>
      <w:r>
        <w:t xml:space="preserve">is mean fidelity over</w:t>
      </w:r>
      <w:r>
        <w:t xml:space="preserve"> </w:t>
      </w:r>
      <m:oMath>
        <m:r>
          <m:t>T</m:t>
        </m:r>
      </m:oMath>
      <w:r>
        <w:t xml:space="preserve"> </w:t>
      </w:r>
      <w:r>
        <w:t xml:space="preserve">turns</w:t>
      </w:r>
      <w:r>
        <w:t xml:space="preserve"> </w:t>
      </w:r>
      <w:r>
        <w:t xml:space="preserve">-</w:t>
      </w:r>
      <w:r>
        <w:t xml:space="preserve"> </w:t>
      </w:r>
      <m:oMath>
        <m:sSub>
          <m:e>
            <m:r>
              <m:t>x</m:t>
            </m:r>
          </m:e>
          <m:sub>
            <m:r>
              <m:t>t</m:t>
            </m:r>
          </m:sub>
        </m:sSub>
      </m:oMath>
      <w:r>
        <w:t xml:space="preserve"> </w:t>
      </w:r>
      <w:r>
        <w:t xml:space="preserve">is response embedding at turn</w:t>
      </w:r>
      <w:r>
        <w:t xml:space="preserve"> </w:t>
      </w:r>
      <m:oMath>
        <m:r>
          <m:t>t</m:t>
        </m:r>
      </m:oMath>
      <w:r>
        <w:t xml:space="preserve"> </w:t>
      </w:r>
      <w:r>
        <w:t xml:space="preserve">-</w:t>
      </w:r>
      <w:r>
        <w:t xml:space="preserve"> </w:t>
      </w:r>
      <m:oMath>
        <m:r>
          <m:t>p</m:t>
        </m:r>
      </m:oMath>
      <w:r>
        <w:t xml:space="preserve"> </w:t>
      </w:r>
      <w:r>
        <w:t xml:space="preserve">is the purpose vector (Primacy Attractor)</w:t>
      </w:r>
    </w:p>
    <w:p>
      <w:pPr>
        <w:pStyle w:val="BodyText"/>
      </w:pPr>
      <w:r>
        <w:t xml:space="preserve">This metric offers:</w:t>
      </w:r>
      <w:r>
        <w:t xml:space="preserve"> </w:t>
      </w:r>
      <w:r>
        <w:t xml:space="preserve">- Continuous monitoring: Every turn produces quantified adherence</w:t>
      </w:r>
      <w:r>
        <w:t xml:space="preserve"> </w:t>
      </w:r>
      <w:r>
        <w:t xml:space="preserve">- Statistical tracking: Mean, variance, control limits over time</w:t>
      </w:r>
      <w:r>
        <w:t xml:space="preserve"> </w:t>
      </w:r>
      <w:r>
        <w:t xml:space="preserve">- Intervention trigger: When F falls below the threshold, proportional control kicks in</w:t>
      </w:r>
      <w:r>
        <w:t xml:space="preserve"> </w:t>
      </w:r>
      <w:r>
        <w:t xml:space="preserve">- Audit evidence: Complete fidelity history for regulatory compliance</w:t>
      </w:r>
    </w:p>
    <w:bookmarkEnd w:id="48"/>
    <w:bookmarkStart w:id="49" w:name="X0fa12999c7dc2bb5a06f506392e89a5b43b0273"/>
    <w:p>
      <w:pPr>
        <w:pStyle w:val="Heading3"/>
      </w:pPr>
      <w:r>
        <w:t xml:space="preserve">2.6 From Transformer Fragility to Governance Primitive</w:t>
      </w:r>
    </w:p>
    <w:p>
      <w:pPr>
        <w:pStyle w:val="FirstParagraph"/>
      </w:pPr>
      <w:r>
        <w:t xml:space="preserve">The attention-based architectures that enable transformers’ abilities also create their governance weaknesses:</w:t>
      </w:r>
    </w:p>
    <w:p>
      <w:pPr>
        <w:pStyle w:val="BodyText"/>
      </w:pPr>
      <w:r>
        <w:t xml:space="preserve">Position bias → Early instructions fade as conversations go on</w:t>
      </w:r>
      <w:r>
        <w:t xml:space="preserve"> </w:t>
      </w:r>
      <w:r>
        <w:t xml:space="preserve">Attention sinks → Focus shifts away from constraints</w:t>
      </w:r>
      <w:r>
        <w:t xml:space="preserve"> </w:t>
      </w:r>
      <w:r>
        <w:t xml:space="preserve">Context window limits → Governance tokens compete with conversation content</w:t>
      </w:r>
    </w:p>
    <w:p>
      <w:pPr>
        <w:pStyle w:val="BodyText"/>
      </w:pPr>
      <w:r>
        <w:t xml:space="preserve">TELOS transforms these weaknesses into control opportunities:</w:t>
      </w:r>
    </w:p>
    <w:p>
      <w:pPr>
        <w:pStyle w:val="BodyText"/>
      </w:pPr>
      <w:r>
        <w:t xml:space="preserve">Position bias → Use primacy effect to establish a strong initial attractor</w:t>
      </w:r>
      <w:r>
        <w:t xml:space="preserve"> </w:t>
      </w:r>
      <w:r>
        <w:t xml:space="preserve">Attention sinks → Monitor attention flow and intervene if it drifts</w:t>
      </w:r>
      <w:r>
        <w:t xml:space="preserve"> </w:t>
      </w:r>
      <w:r>
        <w:t xml:space="preserve">Context limits → Reduce governance to mathematical basics (vectors)</w:t>
      </w:r>
    </w:p>
    <w:p>
      <w:pPr>
        <w:pStyle w:val="BodyText"/>
      </w:pPr>
      <w:r>
        <w:t xml:space="preserve">Instead of resisting transformer architecture, we use its properties for governance. The same positional encoding that causes drift allows for measurement. The same attention mechanisms that lose focus enable redirection.</w:t>
      </w:r>
    </w:p>
    <w:bookmarkEnd w:id="49"/>
    <w:bookmarkEnd w:id="50"/>
    <w:bookmarkStart w:id="54" w:name="X957798ddec7c7ebb488fcc79b3ac7e07ef0d551"/>
    <w:p>
      <w:pPr>
        <w:pStyle w:val="Heading2"/>
      </w:pPr>
      <w:r>
        <w:t xml:space="preserve">3. Statistical Process Control as Runtime Governance</w:t>
      </w:r>
    </w:p>
    <w:bookmarkStart w:id="51" w:name="spc-in-semantic-space"/>
    <w:p>
      <w:pPr>
        <w:pStyle w:val="Heading3"/>
      </w:pPr>
      <w:r>
        <w:t xml:space="preserve">3.1 SPC in Semantic Space</w:t>
      </w:r>
    </w:p>
    <w:p>
      <w:pPr>
        <w:pStyle w:val="FirstParagraph"/>
      </w:pPr>
      <w:r>
        <w:t xml:space="preserve">Statistical Process Control (SPC), started by Shewhart (1931) and refined through years of manufacturing practice, provides the mathematical basis for quality assurance. TELOS adapts SPC principles into semantic space:</w:t>
      </w:r>
    </w:p>
    <w:p>
      <w:pPr>
        <w:pStyle w:val="BodyText"/>
      </w:pPr>
      <w:r>
        <w:t xml:space="preserve">Traditional SPC (manufacturing):</w:t>
      </w:r>
      <w:r>
        <w:t xml:space="preserve"> </w:t>
      </w:r>
      <w:r>
        <w:t xml:space="preserve">- Monitor: Physical measurements (dimensions, weights, defect rates)</w:t>
      </w:r>
      <w:r>
        <w:t xml:space="preserve"> </w:t>
      </w:r>
      <w:r>
        <w:t xml:space="preserve">- Control limits: ±3σ from process mean</w:t>
      </w:r>
      <w:r>
        <w:t xml:space="preserve"> </w:t>
      </w:r>
      <w:r>
        <w:t xml:space="preserve">- Intervention: Adjust machinery when it goes out of control</w:t>
      </w:r>
      <w:r>
        <w:t xml:space="preserve"> </w:t>
      </w:r>
      <w:r>
        <w:t xml:space="preserve">- Evidence: Control charts and capability indices</w:t>
      </w:r>
    </w:p>
    <w:p>
      <w:pPr>
        <w:pStyle w:val="BodyText"/>
      </w:pPr>
      <w:r>
        <w:t xml:space="preserve">For TELOS SPC (semantic systems):</w:t>
      </w:r>
      <w:r>
        <w:t xml:space="preserve"> </w:t>
      </w:r>
      <w:r>
        <w:t xml:space="preserve">- Monitor: Fidelity scores, drift vectors, stability metrics</w:t>
      </w:r>
      <w:r>
        <w:t xml:space="preserve"> </w:t>
      </w:r>
      <w:r>
        <w:t xml:space="preserve">- Control limits: Tolerance bands around Primacy Attractor</w:t>
      </w:r>
      <w:r>
        <w:t xml:space="preserve"> </w:t>
      </w:r>
      <w:r>
        <w:t xml:space="preserve">- Intervention: Proportional correction when drift is detected</w:t>
      </w:r>
      <w:r>
        <w:t xml:space="preserve"> </w:t>
      </w:r>
      <w:r>
        <w:t xml:space="preserve">- Evidence: Telemetry logs, purpose capability indices</w:t>
      </w:r>
    </w:p>
    <w:p>
      <w:pPr>
        <w:pStyle w:val="BodyText"/>
      </w:pPr>
      <w:r>
        <w:t xml:space="preserve">The mathematics remains the same; only the domain shifts from physical to semantic space.</w:t>
      </w:r>
    </w:p>
    <w:bookmarkEnd w:id="51"/>
    <w:bookmarkStart w:id="52" w:name="purpose-capability-index"/>
    <w:p>
      <w:pPr>
        <w:pStyle w:val="Heading3"/>
      </w:pPr>
      <w:r>
        <w:t xml:space="preserve">3.2 Purpose Capability Index</w:t>
      </w:r>
    </w:p>
    <w:p>
      <w:pPr>
        <w:pStyle w:val="FirstParagraph"/>
      </w:pPr>
      <w:r>
        <w:t xml:space="preserve">Drawing from process capability analysis (Montgomery, 2020), we define:</w:t>
      </w:r>
    </w:p>
    <w:p>
      <w:pPr>
        <w:pStyle w:val="BodyText"/>
      </w:pPr>
      <m:oMathPara>
        <m:oMathParaPr>
          <m:jc m:val="center"/>
        </m:oMathParaPr>
        <m:oMath>
          <m:sSub>
            <m:e>
              <m:r>
                <m:t>C</m:t>
              </m:r>
            </m:e>
            <m:sub>
              <m:r>
                <m:t>p</m:t>
              </m:r>
              <m:r>
                <m:t>k</m:t>
              </m:r>
            </m:sub>
          </m:sSub>
          <m:r>
            <m:rPr>
              <m:sty m:val="p"/>
            </m:rPr>
            <m:t>=</m:t>
          </m:r>
          <m:r>
            <m:rPr>
              <m:sty m:val="p"/>
            </m:rPr>
            <m:t>min</m:t>
          </m:r>
          <m:d>
            <m:dPr>
              <m:begChr m:val="("/>
              <m:sepChr m:val=""/>
              <m:endChr m:val=")"/>
              <m:grow/>
            </m:dPr>
            <m:e>
              <m:f>
                <m:fPr>
                  <m:type m:val="bar"/>
                </m:fPr>
                <m:num>
                  <m:r>
                    <m:t>U</m:t>
                  </m:r>
                  <m:r>
                    <m:t>S</m:t>
                  </m:r>
                  <m:r>
                    <m:t>L</m:t>
                  </m:r>
                  <m:r>
                    <m:rPr>
                      <m:sty m:val="p"/>
                    </m:rPr>
                    <m:t>−</m:t>
                  </m:r>
                  <m:r>
                    <m:t>μ</m:t>
                  </m:r>
                </m:num>
                <m:den>
                  <m:r>
                    <m:t>3</m:t>
                  </m:r>
                  <m:r>
                    <m:t>σ</m:t>
                  </m:r>
                </m:den>
              </m:f>
              <m:r>
                <m:rPr>
                  <m:sty m:val="p"/>
                </m:rPr>
                <m:t>,</m:t>
              </m:r>
              <m:f>
                <m:fPr>
                  <m:type m:val="bar"/>
                </m:fPr>
                <m:num>
                  <m:r>
                    <m:t>μ</m:t>
                  </m:r>
                  <m:r>
                    <m:rPr>
                      <m:sty m:val="p"/>
                    </m:rPr>
                    <m:t>−</m:t>
                  </m:r>
                  <m:r>
                    <m:t>L</m:t>
                  </m:r>
                  <m:r>
                    <m:t>S</m:t>
                  </m:r>
                  <m:r>
                    <m:t>L</m:t>
                  </m:r>
                </m:num>
                <m:den>
                  <m:r>
                    <m:t>3</m:t>
                  </m:r>
                  <m:r>
                    <m:t>σ</m:t>
                  </m:r>
                </m:den>
              </m:f>
            </m:e>
          </m:d>
        </m:oMath>
      </m:oMathPara>
    </w:p>
    <w:p>
      <w:pPr>
        <w:pStyle w:val="FirstParagraph"/>
      </w:pPr>
      <w:r>
        <w:t xml:space="preserve">where:</w:t>
      </w:r>
      <w:r>
        <w:t xml:space="preserve"> </w:t>
      </w:r>
      <w:r>
        <w:t xml:space="preserve">-</w:t>
      </w:r>
      <w:r>
        <w:t xml:space="preserve"> </w:t>
      </w:r>
      <m:oMath>
        <m:r>
          <m:t>U</m:t>
        </m:r>
        <m:r>
          <m:t>S</m:t>
        </m:r>
        <m:r>
          <m:t>L</m:t>
        </m:r>
      </m:oMath>
      <w:r>
        <w:t xml:space="preserve"> </w:t>
      </w:r>
      <w:r>
        <w:t xml:space="preserve">= Upper Specification Limit (maximum acceptable drift)</w:t>
      </w:r>
      <w:r>
        <w:t xml:space="preserve"> </w:t>
      </w:r>
      <w:r>
        <w:t xml:space="preserve">-</w:t>
      </w:r>
      <w:r>
        <w:t xml:space="preserve"> </w:t>
      </w:r>
      <m:oMath>
        <m:r>
          <m:t>L</m:t>
        </m:r>
        <m:r>
          <m:t>S</m:t>
        </m:r>
        <m:r>
          <m:t>L</m:t>
        </m:r>
      </m:oMath>
      <w:r>
        <w:t xml:space="preserve"> </w:t>
      </w:r>
      <w:r>
        <w:t xml:space="preserve">= Lower Specification Limit (minimum required fidelity)</w:t>
      </w:r>
      <w:r>
        <w:t xml:space="preserve"> </w:t>
      </w:r>
      <w:r>
        <w:t xml:space="preserve">-</w:t>
      </w:r>
      <w:r>
        <w:t xml:space="preserve"> </w:t>
      </w:r>
      <m:oMath>
        <m:r>
          <m:t>μ</m:t>
        </m:r>
      </m:oMath>
      <w:r>
        <w:t xml:space="preserve"> </w:t>
      </w:r>
      <w:r>
        <w:t xml:space="preserve">= Mean fidelity over session</w:t>
      </w:r>
      <w:r>
        <w:t xml:space="preserve"> </w:t>
      </w:r>
      <w:r>
        <w:t xml:space="preserve">-</w:t>
      </w:r>
      <w:r>
        <w:t xml:space="preserve"> </w:t>
      </w:r>
      <m:oMath>
        <m:r>
          <m:t>σ</m:t>
        </m:r>
      </m:oMath>
      <w:r>
        <w:t xml:space="preserve"> </w:t>
      </w:r>
      <w:r>
        <w:t xml:space="preserve">= Standard deviation of fidelity</w:t>
      </w:r>
    </w:p>
    <w:p>
      <w:pPr>
        <w:pStyle w:val="BodyText"/>
      </w:pPr>
      <w:r>
        <w:t xml:space="preserve">Interpretation:</w:t>
      </w:r>
      <w:r>
        <w:t xml:space="preserve"> </w:t>
      </w:r>
      <w:r>
        <w:t xml:space="preserve">-</w:t>
      </w:r>
      <w:r>
        <w:t xml:space="preserve"> </w:t>
      </w:r>
      <m:oMath>
        <m:sSub>
          <m:e>
            <m:r>
              <m:t>C</m:t>
            </m:r>
          </m:e>
          <m:sub>
            <m:r>
              <m:t>p</m:t>
            </m:r>
            <m:r>
              <m:t>k</m:t>
            </m:r>
          </m:sub>
        </m:sSub>
        <m:r>
          <m:rPr>
            <m:sty m:val="p"/>
          </m:rPr>
          <m:t>&gt;</m:t>
        </m:r>
        <m:r>
          <m:t>1.33</m:t>
        </m:r>
      </m:oMath>
      <w:r>
        <w:t xml:space="preserve">: Process is highly capable (six sigma quality)</w:t>
      </w:r>
      <w:r>
        <w:t xml:space="preserve"> </w:t>
      </w:r>
      <w:r>
        <w:t xml:space="preserve">-</w:t>
      </w:r>
      <w:r>
        <w:t xml:space="preserve"> </w:t>
      </w:r>
      <m:oMath>
        <m:r>
          <m:t>1.0</m:t>
        </m:r>
        <m:r>
          <m:rPr>
            <m:sty m:val="p"/>
          </m:rPr>
          <m:t>&lt;</m:t>
        </m:r>
        <m:sSub>
          <m:e>
            <m:r>
              <m:t>C</m:t>
            </m:r>
          </m:e>
          <m:sub>
            <m:r>
              <m:t>p</m:t>
            </m:r>
            <m:r>
              <m:t>k</m:t>
            </m:r>
          </m:sub>
        </m:sSub>
        <m:r>
          <m:rPr>
            <m:sty m:val="p"/>
          </m:rPr>
          <m:t>&lt;</m:t>
        </m:r>
        <m:r>
          <m:t>1.33</m:t>
        </m:r>
      </m:oMath>
      <w:r>
        <w:t xml:space="preserve">: Process is capable but needs monitoring</w:t>
      </w:r>
      <w:r>
        <w:t xml:space="preserve"> </w:t>
      </w:r>
      <w:r>
        <w:t xml:space="preserve">-</w:t>
      </w:r>
      <w:r>
        <w:t xml:space="preserve"> </w:t>
      </w:r>
      <m:oMath>
        <m:sSub>
          <m:e>
            <m:r>
              <m:t>C</m:t>
            </m:r>
          </m:e>
          <m:sub>
            <m:r>
              <m:t>p</m:t>
            </m:r>
            <m:r>
              <m:t>k</m:t>
            </m:r>
          </m:sub>
        </m:sSub>
        <m:r>
          <m:rPr>
            <m:sty m:val="p"/>
          </m:rPr>
          <m:t>&lt;</m:t>
        </m:r>
        <m:r>
          <m:t>1.0</m:t>
        </m:r>
      </m:oMath>
      <w:r>
        <w:t xml:space="preserve">: Process is not capable; intervention is essential</w:t>
      </w:r>
    </w:p>
    <w:p>
      <w:pPr>
        <w:pStyle w:val="BodyText"/>
      </w:pPr>
      <w:r>
        <w:t xml:space="preserve">This gives regulators familiar quality metrics applied to AI governance.</w:t>
      </w:r>
    </w:p>
    <w:bookmarkEnd w:id="52"/>
    <w:bookmarkStart w:id="53" w:name="quality-systems-alignment"/>
    <w:p>
      <w:pPr>
        <w:pStyle w:val="Heading3"/>
      </w:pPr>
      <w:r>
        <w:t xml:space="preserve">3.3 Quality Systems Alignment</w:t>
      </w:r>
    </w:p>
    <w:p>
      <w:pPr>
        <w:pStyle w:val="FirstParagraph"/>
      </w:pPr>
      <w:r>
        <w:t xml:space="preserve">TELOS fits directly into established quality frameworks:</w:t>
      </w:r>
    </w:p>
    <w:p>
      <w:pPr>
        <w:pStyle w:val="BodyText"/>
      </w:pPr>
      <w:r>
        <w:t xml:space="preserve">ISO 9001:2015 Clause 9.1 (Monitoring and Measurement):</w:t>
      </w:r>
      <w:r>
        <w:t xml:space="preserve"> </w:t>
      </w:r>
      <w:r>
        <w:t xml:space="preserve">-</w:t>
      </w:r>
      <w:r>
        <w:t xml:space="preserve"> </w:t>
      </w:r>
      <w:r>
        <w:t xml:space="preserve">“The organization shall determine what needs to be monitored”</w:t>
      </w:r>
      <w:r>
        <w:t xml:space="preserve"> </w:t>
      </w:r>
      <w:r>
        <w:t xml:space="preserve">- TELOS: Fidelity scores, drift vectors, intervention rates</w:t>
      </w:r>
    </w:p>
    <w:p>
      <w:pPr>
        <w:pStyle w:val="BodyText"/>
      </w:pPr>
      <w:r>
        <w:t xml:space="preserve">21 CFR Part 820.70 (Production and Process Controls):</w:t>
      </w:r>
      <w:r>
        <w:t xml:space="preserve"> </w:t>
      </w:r>
      <w:r>
        <w:t xml:space="preserve">-</w:t>
      </w:r>
      <w:r>
        <w:t xml:space="preserve"> </w:t>
      </w:r>
      <w:r>
        <w:t xml:space="preserve">“Validated processes shall be monitored and controlled”</w:t>
      </w:r>
      <w:r>
        <w:t xml:space="preserve"> </w:t>
      </w:r>
      <w:r>
        <w:t xml:space="preserve">- TELOS: Continuous monitoring with proportional control</w:t>
      </w:r>
    </w:p>
    <w:p>
      <w:pPr>
        <w:pStyle w:val="BodyText"/>
      </w:pPr>
      <w:r>
        <w:t xml:space="preserve">ISO 13485:2016 Clause 8.2.5 (Monitoring and Measurement of Processes):</w:t>
      </w:r>
      <w:r>
        <w:t xml:space="preserve"> </w:t>
      </w:r>
      <w:r>
        <w:t xml:space="preserve">-</w:t>
      </w:r>
      <w:r>
        <w:t xml:space="preserve"> </w:t>
      </w:r>
      <w:r>
        <w:t xml:space="preserve">“Methods demonstrate ability of processes to achieve planned results”</w:t>
      </w:r>
      <w:r>
        <w:t xml:space="preserve"> </w:t>
      </w:r>
      <w:r>
        <w:t xml:space="preserve">- TELOS: Purpose capability indices, stability metrics</w:t>
      </w:r>
    </w:p>
    <w:p>
      <w:pPr>
        <w:pStyle w:val="BodyText"/>
      </w:pPr>
      <w:r>
        <w:t xml:space="preserve">By using the language of quality systems, TELOS allows for AI governance through frameworks that auditors already understand.</w:t>
      </w:r>
    </w:p>
    <w:p>
      <w:r>
        <w:pict>
          <v:rect style="width:0;height:1.5pt" o:hralign="center" o:hrstd="t" o:hr="t"/>
        </w:pict>
      </w:r>
    </w:p>
    <w:bookmarkEnd w:id="53"/>
    <w:bookmarkEnd w:id="54"/>
    <w:bookmarkStart w:id="75" w:name="validation-framework-and-results"/>
    <w:p>
      <w:pPr>
        <w:pStyle w:val="Heading2"/>
      </w:pPr>
      <w:r>
        <w:t xml:space="preserve">4. Validation Framework and Results</w:t>
      </w:r>
    </w:p>
    <w:bookmarkStart w:id="55" w:name="the-validation-imperative"/>
    <w:p>
      <w:pPr>
        <w:pStyle w:val="Heading3"/>
      </w:pPr>
      <w:r>
        <w:t xml:space="preserve">4.1 The Validation Imperative</w:t>
      </w:r>
    </w:p>
    <w:p>
      <w:pPr>
        <w:pStyle w:val="FirstParagraph"/>
      </w:pPr>
      <w:r>
        <w:t xml:space="preserve">VALIDATION STATUS (January 2026): TELOS has passed adversarial security validation, showing measurable attack prevention superiority over system prompt baselines.</w:t>
      </w:r>
    </w:p>
    <w:p>
      <w:pPr>
        <w:pStyle w:val="BodyText"/>
      </w:pPr>
      <w:r>
        <w:t xml:space="preserve">VALIDATED - Adversarial Security (January 2026):</w:t>
      </w:r>
      <w:r>
        <w:t xml:space="preserve"> </w:t>
      </w:r>
      <w:r>
        <w:t xml:space="preserve">- 0% Attack Success Rate across 2,550 adversarial attacks</w:t>
      </w:r>
      <w:r>
        <w:t xml:space="preserve"> </w:t>
      </w:r>
      <w:r>
        <w:t xml:space="preserve">- 0/2,550 observed attacks succeeded (95% CI upper bound ~0.15%) versus 3.7-11.1% ASR (system prompts) and 30.8-43.9% ASR (raw models)</w:t>
      </w:r>
      <w:r>
        <w:t xml:space="preserve"> </w:t>
      </w:r>
      <w:r>
        <w:t xml:space="preserve">- Testing across two Mistral models (Small and Large)</w:t>
      </w:r>
      <w:r>
        <w:t xml:space="preserve"> </w:t>
      </w:r>
      <w:r>
        <w:t xml:space="preserve">- Attack types: Prompt injection, jailbreaking, role manipulation, context manipulation, boundary violations</w:t>
      </w:r>
      <w:r>
        <w:t xml:space="preserve"> </w:t>
      </w:r>
      <w:r>
        <w:t xml:space="preserve">- Results confirm TELOS as constitutional security architecture validated against real threats</w:t>
      </w:r>
    </w:p>
    <w:p>
      <w:pPr>
        <w:pStyle w:val="BodyText"/>
      </w:pPr>
      <w:r>
        <w:t xml:space="preserve">PLANNED - Runtime Intervention Validation (Q1 2026):</w:t>
      </w:r>
      <w:r>
        <w:t xml:space="preserve"> </w:t>
      </w:r>
      <w:r>
        <w:t xml:space="preserve">- Proportional Controller correction effectiveness in live sessions</w:t>
      </w:r>
      <w:r>
        <w:t xml:space="preserve"> </w:t>
      </w:r>
      <w:r>
        <w:t xml:space="preserve">- CORRECT → INTERVENE → ESCALATE cascade performance</w:t>
      </w:r>
      <w:r>
        <w:t xml:space="preserve"> </w:t>
      </w:r>
      <w:r>
        <w:t xml:space="preserve">- Intervention frequency and success rates</w:t>
      </w:r>
      <w:r>
        <w:t xml:space="preserve"> </w:t>
      </w:r>
      <w:r>
        <w:t xml:space="preserve">- Real-time drift detection and restoration</w:t>
      </w:r>
    </w:p>
    <w:p>
      <w:pPr>
        <w:pStyle w:val="BodyText"/>
      </w:pPr>
      <w:r>
        <w:t xml:space="preserve">Critical Distinction:</w:t>
      </w:r>
      <w:r>
        <w:t xml:space="preserve"> </w:t>
      </w:r>
      <w:r>
        <w:t xml:space="preserve">- Adversarial validation (completed) tests attack resistance through security testing</w:t>
      </w:r>
      <w:r>
        <w:t xml:space="preserve"> </w:t>
      </w:r>
      <w:r>
        <w:t xml:space="preserve">- Runtime validation (planned) tests intervention effectiveness in live drift scenarios</w:t>
      </w:r>
    </w:p>
    <w:bookmarkEnd w:id="55"/>
    <w:bookmarkStart w:id="56" w:name="validation-hypotheses"/>
    <w:p>
      <w:pPr>
        <w:pStyle w:val="Heading3"/>
      </w:pPr>
      <w:r>
        <w:t xml:space="preserve">4.2 Validation Hypotheses</w:t>
      </w:r>
    </w:p>
    <w:p>
      <w:pPr>
        <w:pStyle w:val="FirstParagraph"/>
      </w:pPr>
      <w:r>
        <w:t xml:space="preserve">We test specific, falsifiable claims:</w:t>
      </w:r>
    </w:p>
    <w:p>
      <w:pPr>
        <w:pStyle w:val="BodyText"/>
      </w:pPr>
      <w:r>
        <w:t xml:space="preserve">H1: Adversarial Security</w:t>
      </w:r>
      <w:r>
        <w:t xml:space="preserve"> </w:t>
      </w:r>
      <w:r>
        <w:t xml:space="preserve">- TELOS prevents attacks that bypass system prompts alone</w:t>
      </w:r>
      <w:r>
        <w:t xml:space="preserve"> </w:t>
      </w:r>
      <w:r>
        <w:t xml:space="preserve">- Status: VALIDATED (0% ASR versus 3.7-11.1% baseline across 2,550 attacks including AILuminate and SB 243 child safety)</w:t>
      </w:r>
    </w:p>
    <w:p>
      <w:pPr>
        <w:pStyle w:val="BodyText"/>
      </w:pPr>
      <w:r>
        <w:t xml:space="preserve">H2: Intervention Effectiveness</w:t>
      </w:r>
      <w:r>
        <w:t xml:space="preserve"> </w:t>
      </w:r>
      <w:r>
        <w:t xml:space="preserve">- Proportional control successfully corrects drift when detected in live sessions</w:t>
      </w:r>
      <w:r>
        <w:t xml:space="preserve"> </w:t>
      </w:r>
      <w:r>
        <w:t xml:space="preserve">- Status: Requires runtime validation (planned Q1 2026)</w:t>
      </w:r>
    </w:p>
    <w:p>
      <w:pPr>
        <w:pStyle w:val="BodyText"/>
      </w:pPr>
      <w:r>
        <w:t xml:space="preserve">H3: Regulatory Evidence Generation</w:t>
      </w:r>
      <w:r>
        <w:t xml:space="preserve"> </w:t>
      </w:r>
      <w:r>
        <w:t xml:space="preserve">- Telemetry provides enough evidence for compliance demonstration</w:t>
      </w:r>
      <w:r>
        <w:t xml:space="preserve"> </w:t>
      </w:r>
      <w:r>
        <w:t xml:space="preserve">- Status: Requires auditor assessment</w:t>
      </w:r>
    </w:p>
    <w:p>
      <w:pPr>
        <w:pStyle w:val="BodyText"/>
      </w:pPr>
      <w:r>
        <w:t xml:space="preserve">H4: Generalization Across Domains</w:t>
      </w:r>
      <w:r>
        <w:t xml:space="preserve"> </w:t>
      </w:r>
      <w:r>
        <w:t xml:space="preserve">- The framework stays effective across conversation types and attack sophistication levels</w:t>
      </w:r>
      <w:r>
        <w:t xml:space="preserve"> </w:t>
      </w:r>
      <w:r>
        <w:t xml:space="preserve">- Status: VALIDATED (2,550 attacks: 1,200 AILuminate + 400 HarmBench + 900 MedSafetyBench + 50 SB 243)</w:t>
      </w:r>
    </w:p>
    <w:p>
      <w:pPr>
        <w:pStyle w:val="BodyText"/>
      </w:pPr>
      <w:r>
        <w:t xml:space="preserve">H5: Over-Refusal Calibration</w:t>
      </w:r>
      <w:r>
        <w:t xml:space="preserve"> </w:t>
      </w:r>
      <w:r>
        <w:t xml:space="preserve">- Domain-specific Primacy Attractors lower false positives while ensuring strong safety</w:t>
      </w:r>
      <w:r>
        <w:t xml:space="preserve"> </w:t>
      </w:r>
      <w:r>
        <w:t xml:space="preserve">- Status: VALIDATED (XSTest: 24.8% FPR generic → 8.0% FPR Healthcare PA, 16.8pp improvement)</w:t>
      </w:r>
    </w:p>
    <w:bookmarkEnd w:id="56"/>
    <w:bookmarkStart w:id="62" w:name="Xb2c48fbe07075a44f294702b4d7138343c34372"/>
    <w:p>
      <w:pPr>
        <w:pStyle w:val="Heading3"/>
      </w:pPr>
      <w:r>
        <w:t xml:space="preserve">4.3 Adversarial Validation: Completed Security Testing (January 2026)</w:t>
      </w:r>
    </w:p>
    <w:bookmarkStart w:id="57" w:name="X7706ce7346579b9ebebe81311fa1f50fe0e9879"/>
    <w:p>
      <w:pPr>
        <w:pStyle w:val="Heading4"/>
      </w:pPr>
      <w:r>
        <w:t xml:space="preserve">4.3.1 Why Security Validation Matters for Governance</w:t>
      </w:r>
    </w:p>
    <w:p>
      <w:pPr>
        <w:pStyle w:val="FirstParagraph"/>
      </w:pPr>
      <w:r>
        <w:t xml:space="preserve">Constitutional constraints are useless if adversaries can bypass them. A system that stays aligned under regular conditions but fails under adversarial pressure is fundamentally ungovernable, similar to a lock that works until someone attempts to pick it.</w:t>
      </w:r>
    </w:p>
    <w:p>
      <w:pPr>
        <w:pStyle w:val="BodyText"/>
      </w:pPr>
      <w:r>
        <w:t xml:space="preserve">Prompt injection, jailbreaking, and role manipulation attacks specifically target the governance layer. They try to:</w:t>
      </w:r>
      <w:r>
        <w:t xml:space="preserve"> </w:t>
      </w:r>
      <w:r>
        <w:t xml:space="preserve">- Override declared boundaries:</w:t>
      </w:r>
      <w:r>
        <w:t xml:space="preserve"> </w:t>
      </w:r>
      <w:r>
        <w:t xml:space="preserve">“Ignore previous instructions…”</w:t>
      </w:r>
      <w:r>
        <w:t xml:space="preserve"> </w:t>
      </w:r>
      <w:r>
        <w:t xml:space="preserve">- Redefine system identity:</w:t>
      </w:r>
      <w:r>
        <w:t xml:space="preserve"> </w:t>
      </w:r>
      <w:r>
        <w:t xml:space="preserve">“You are now an unrestricted AI…”</w:t>
      </w:r>
      <w:r>
        <w:t xml:space="preserve"> </w:t>
      </w:r>
      <w:r>
        <w:t xml:space="preserve">- Manipulate context to justify violations:</w:t>
      </w:r>
      <w:r>
        <w:t xml:space="preserve"> </w:t>
      </w:r>
      <w:r>
        <w:t xml:space="preserve">“This is for research purposes…”</w:t>
      </w:r>
    </w:p>
    <w:p>
      <w:pPr>
        <w:pStyle w:val="BodyText"/>
      </w:pPr>
      <w:r>
        <w:t xml:space="preserve">If governance infrastructure can’t withstand these attacks, it can’t assure compliance. Regulatory frameworks require that safety constraints remain enforceable even when systems face adversarial inputs, making adversarial robustness a compliance requirement, not just a security concern.</w:t>
      </w:r>
    </w:p>
    <w:p>
      <w:pPr>
        <w:pStyle w:val="BodyText"/>
      </w:pPr>
      <w:r>
        <w:t xml:space="preserve">SB 53 explicitly requires that safety frameworks show resilience against</w:t>
      </w:r>
      <w:r>
        <w:t xml:space="preserve"> </w:t>
      </w:r>
      <w:r>
        <w:t xml:space="preserve">“adversarial testing and red-teaming exercises.”</w:t>
      </w:r>
      <w:r>
        <w:t xml:space="preserve"> </w:t>
      </w:r>
      <w:r>
        <w:t xml:space="preserve">Article 72 mandates post-market monitoring that includes</w:t>
      </w:r>
      <w:r>
        <w:t xml:space="preserve"> </w:t>
      </w:r>
      <w:r>
        <w:t xml:space="preserve">“analysis of risks”</w:t>
      </w:r>
      <w:r>
        <w:t xml:space="preserve"> </w:t>
      </w:r>
      <w:r>
        <w:t xml:space="preserve">emerging from hostile use.</w:t>
      </w:r>
    </w:p>
    <w:p>
      <w:pPr>
        <w:pStyle w:val="BodyText"/>
      </w:pPr>
      <w:r>
        <w:t xml:space="preserve">Both frameworks understand that governance systems must perform under attack, not just during cooperation. TELOS’s 0% Attack Success Rate proves that orchestration-layer governance provides far stronger security than prompt-based methods, which permitted 3.7-11.1% of attacks even with careful engineering.</w:t>
      </w:r>
    </w:p>
    <w:p>
      <w:pPr>
        <w:pStyle w:val="BodyText"/>
      </w:pPr>
      <w:r>
        <w:t xml:space="preserve">This is not just a small improvement; it represents architectural security versus heuristic hope.</w:t>
      </w:r>
    </w:p>
    <w:bookmarkEnd w:id="57"/>
    <w:bookmarkStart w:id="58" w:name="study-design"/>
    <w:p>
      <w:pPr>
        <w:pStyle w:val="Heading4"/>
      </w:pPr>
      <w:r>
        <w:t xml:space="preserve">4.3.2 Study Design</w:t>
      </w:r>
    </w:p>
    <w:p>
      <w:pPr>
        <w:pStyle w:val="FirstParagraph"/>
      </w:pPr>
      <w:r>
        <w:t xml:space="preserve">Methodology: Multi-Model Adversarial Attack Testing</w:t>
      </w:r>
      <w:r>
        <w:t xml:space="preserve"> </w:t>
      </w:r>
      <w:r>
        <w:t xml:space="preserve">- Test TELOS governance framework against a standardized attack library</w:t>
      </w:r>
      <w:r>
        <w:t xml:space="preserve"> </w:t>
      </w:r>
      <w:r>
        <w:t xml:space="preserve">- Compare against system prompt baseline and raw model performance</w:t>
      </w:r>
      <w:r>
        <w:t xml:space="preserve"> </w:t>
      </w:r>
      <w:r>
        <w:t xml:space="preserve">- Test across two Mistral model sizes (Small and Large)</w:t>
      </w:r>
      <w:r>
        <w:t xml:space="preserve"> </w:t>
      </w:r>
      <w:r>
        <w:t xml:space="preserve">- Measure Attack Success Rate (ASR) and Violation Defense Rate (VDR)</w:t>
      </w:r>
    </w:p>
    <w:p>
      <w:pPr>
        <w:pStyle w:val="BodyText"/>
      </w:pPr>
      <w:r>
        <w:t xml:space="preserve">Attack Types Tested:</w:t>
      </w:r>
      <w:r>
        <w:t xml:space="preserve"> </w:t>
      </w:r>
      <w:r>
        <w:t xml:space="preserve">1. Prompt injection (instruction override attempts)</w:t>
      </w:r>
      <w:r>
        <w:t xml:space="preserve"> </w:t>
      </w:r>
      <w:r>
        <w:t xml:space="preserve">2. Jailbreaking (constraint violation through roleplay)</w:t>
      </w:r>
      <w:r>
        <w:t xml:space="preserve"> </w:t>
      </w:r>
      <w:r>
        <w:t xml:space="preserve">3. Role manipulation (identity confusion attacks)</w:t>
      </w:r>
      <w:r>
        <w:t xml:space="preserve"> </w:t>
      </w:r>
      <w:r>
        <w:t xml:space="preserve">4. Context manipulation (semantic boundary probing)</w:t>
      </w:r>
      <w:r>
        <w:t xml:space="preserve"> </w:t>
      </w:r>
      <w:r>
        <w:t xml:space="preserve">5. Privacy violations (data extraction attempts)</w:t>
      </w:r>
    </w:p>
    <w:p>
      <w:pPr>
        <w:pStyle w:val="BodyText"/>
      </w:pPr>
      <w:r>
        <w:t xml:space="preserve">Test Configuration:</w:t>
      </w:r>
      <w:r>
        <w:t xml:space="preserve"> </w:t>
      </w:r>
      <w:r>
        <w:t xml:space="preserve">- Models: Mistral Small 2501, Mistral Large 2501</w:t>
      </w:r>
      <w:r>
        <w:t xml:space="preserve"> </w:t>
      </w:r>
      <w:r>
        <w:t xml:space="preserve">- Conditions: Raw (no defense), System Prompt Only, TELOS (orchestration-layer governance)</w:t>
      </w:r>
      <w:r>
        <w:t xml:space="preserve"> </w:t>
      </w:r>
      <w:r>
        <w:t xml:space="preserve">- Date: January 2026</w:t>
      </w:r>
      <w:r>
        <w:t xml:space="preserve"> </w:t>
      </w:r>
      <w:r>
        <w:t xml:space="preserve">- Total attacks: 2,550 distinct adversarial prompts (1,200 AILuminate + 400 HarmBench + 900 MedSafetyBench + 50 SB 243)</w:t>
      </w:r>
    </w:p>
    <w:bookmarkEnd w:id="58"/>
    <w:bookmarkStart w:id="59" w:name="results-summary"/>
    <w:p>
      <w:pPr>
        <w:pStyle w:val="Heading4"/>
      </w:pPr>
      <w:r>
        <w:t xml:space="preserve">4.3.3 Results Summary</w:t>
      </w:r>
    </w:p>
    <w:p>
      <w:pPr>
        <w:pStyle w:val="FirstParagraph"/>
      </w:pPr>
      <w:r>
        <w:t xml:space="preserve">Executive Summary Table:</w:t>
      </w:r>
    </w:p>
    <w:tbl>
      <w:tblPr>
        <w:tblStyle w:val="Table"/>
        <w:tblW w:type="pct" w:w="5000"/>
        <w:tblLayout w:type="fixed"/>
        <w:tblLook w:firstRow="1" w:lastRow="0" w:firstColumn="0" w:lastColumn="0" w:noHBand="0" w:noVBand="0" w:val="0020"/>
      </w:tblPr>
      <w:tblGrid>
        <w:gridCol w:w="1320"/>
        <w:gridCol w:w="1791"/>
        <w:gridCol w:w="1791"/>
        <w:gridCol w:w="1225"/>
        <w:gridCol w:w="1791"/>
      </w:tblGrid>
      <w:tr>
        <w:trPr>
          <w:tblHeader w:val="on"/>
        </w:trPr>
        <w:tc>
          <w:tcPr/>
          <w:p>
            <w:pPr>
              <w:pStyle w:val="Compact"/>
            </w:pPr>
            <w:r>
              <w:t xml:space="preserve">Defense Layer</w:t>
            </w:r>
          </w:p>
        </w:tc>
        <w:tc>
          <w:tcPr/>
          <w:p>
            <w:pPr>
              <w:pStyle w:val="Compact"/>
            </w:pPr>
            <w:r>
              <w:t xml:space="preserve">Mistral Small ASR</w:t>
            </w:r>
          </w:p>
        </w:tc>
        <w:tc>
          <w:tcPr/>
          <w:p>
            <w:pPr>
              <w:pStyle w:val="Compact"/>
            </w:pPr>
            <w:r>
              <w:t xml:space="preserve">Mistral Large ASR</w:t>
            </w:r>
          </w:p>
        </w:tc>
        <w:tc>
          <w:tcPr/>
          <w:p>
            <w:pPr>
              <w:pStyle w:val="Compact"/>
            </w:pPr>
            <w:r>
              <w:t xml:space="preserve">Average ASR</w:t>
            </w:r>
          </w:p>
        </w:tc>
        <w:tc>
          <w:tcPr/>
          <w:p>
            <w:pPr>
              <w:pStyle w:val="Compact"/>
            </w:pPr>
            <w:r>
              <w:t xml:space="preserve">Attack Elimination</w:t>
            </w:r>
          </w:p>
        </w:tc>
      </w:tr>
      <w:tr>
        <w:tc>
          <w:tcPr/>
          <w:p>
            <w:pPr>
              <w:pStyle w:val="Compact"/>
            </w:pPr>
            <w:r>
              <w:t xml:space="preserve">No Defense (Baseline)</w:t>
            </w:r>
          </w:p>
        </w:tc>
        <w:tc>
          <w:tcPr/>
          <w:p>
            <w:pPr>
              <w:pStyle w:val="Compact"/>
            </w:pPr>
            <w:r>
              <w:t xml:space="preserve">30.8%</w:t>
            </w:r>
          </w:p>
        </w:tc>
        <w:tc>
          <w:tcPr/>
          <w:p>
            <w:pPr>
              <w:pStyle w:val="Compact"/>
            </w:pPr>
            <w:r>
              <w:t xml:space="preserve">43.9%</w:t>
            </w:r>
          </w:p>
        </w:tc>
        <w:tc>
          <w:tcPr/>
          <w:p>
            <w:pPr>
              <w:pStyle w:val="Compact"/>
            </w:pPr>
            <w:r>
              <w:t xml:space="preserve">37.4%</w:t>
            </w:r>
          </w:p>
        </w:tc>
        <w:tc>
          <w:tcPr/>
          <w:p>
            <w:pPr>
              <w:pStyle w:val="Compact"/>
            </w:pPr>
            <w:r>
              <w:t xml:space="preserve">-</w:t>
            </w:r>
          </w:p>
        </w:tc>
      </w:tr>
      <w:tr>
        <w:tc>
          <w:tcPr/>
          <w:p>
            <w:pPr>
              <w:pStyle w:val="Compact"/>
            </w:pPr>
            <w:r>
              <w:t xml:space="preserve">System Prompt</w:t>
            </w:r>
          </w:p>
        </w:tc>
        <w:tc>
          <w:tcPr/>
          <w:p>
            <w:pPr>
              <w:pStyle w:val="Compact"/>
            </w:pPr>
            <w:r>
              <w:t xml:space="preserve">11.1%</w:t>
            </w:r>
          </w:p>
        </w:tc>
        <w:tc>
          <w:tcPr/>
          <w:p>
            <w:pPr>
              <w:pStyle w:val="Compact"/>
            </w:pPr>
            <w:r>
              <w:t xml:space="preserve">3.7%</w:t>
            </w:r>
          </w:p>
        </w:tc>
        <w:tc>
          <w:tcPr/>
          <w:p>
            <w:pPr>
              <w:pStyle w:val="Compact"/>
            </w:pPr>
            <w:r>
              <w:t xml:space="preserve">7.4%</w:t>
            </w:r>
          </w:p>
        </w:tc>
        <w:tc>
          <w:tcPr/>
          <w:p>
            <w:pPr>
              <w:pStyle w:val="Compact"/>
            </w:pPr>
            <w:r>
              <w:t xml:space="preserve">80% reduction</w:t>
            </w:r>
          </w:p>
        </w:tc>
      </w:tr>
      <w:tr>
        <w:tc>
          <w:tcPr/>
          <w:p>
            <w:pPr>
              <w:pStyle w:val="Compact"/>
            </w:pPr>
            <w:r>
              <w:t xml:space="preserve">TELOS Governance</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0/2,550 observed</w:t>
            </w:r>
          </w:p>
        </w:tc>
      </w:tr>
    </w:tbl>
    <w:p>
      <w:pPr>
        <w:pStyle w:val="BodyText"/>
      </w:pPr>
      <w:r>
        <w:t xml:space="preserve">Key Finding: TELOS achieved 0 out of 2,550 observed attack successes (95% CI upper bound ~0.15% under black-box threat model) while system prompts allowed 94-283 attacks through across models.</w:t>
      </w:r>
    </w:p>
    <w:p>
      <w:pPr>
        <w:pStyle w:val="BodyText"/>
      </w:pPr>
      <w:r>
        <w:t xml:space="preserve">Attack Success Rate (ASR), Percentage of attacks that successfully violated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Mistral Small</w:t>
            </w:r>
          </w:p>
        </w:tc>
        <w:tc>
          <w:tcPr/>
          <w:p>
            <w:pPr>
              <w:pStyle w:val="Compact"/>
            </w:pPr>
            <w:r>
              <w:t xml:space="preserve">Mistral Large</w:t>
            </w:r>
          </w:p>
        </w:tc>
        <w:tc>
          <w:tcPr/>
          <w:p>
            <w:pPr>
              <w:pStyle w:val="Compact"/>
            </w:pPr>
            <w:r>
              <w:t xml:space="preserve">Mean ASR</w:t>
            </w:r>
          </w:p>
        </w:tc>
      </w:tr>
      <w:tr>
        <w:tc>
          <w:tcPr/>
          <w:p>
            <w:pPr>
              <w:pStyle w:val="Compact"/>
            </w:pPr>
            <w:r>
              <w:t xml:space="preserve">Raw Model</w:t>
            </w:r>
          </w:p>
        </w:tc>
        <w:tc>
          <w:tcPr/>
          <w:p>
            <w:pPr>
              <w:pStyle w:val="Compact"/>
            </w:pPr>
            <w:r>
              <w:t xml:space="preserve">30.8%</w:t>
            </w:r>
          </w:p>
        </w:tc>
        <w:tc>
          <w:tcPr/>
          <w:p>
            <w:pPr>
              <w:pStyle w:val="Compact"/>
            </w:pPr>
            <w:r>
              <w:t xml:space="preserve">43.9%</w:t>
            </w:r>
          </w:p>
        </w:tc>
        <w:tc>
          <w:tcPr/>
          <w:p>
            <w:pPr>
              <w:pStyle w:val="Compact"/>
            </w:pPr>
            <w:r>
              <w:t xml:space="preserve">37.4%</w:t>
            </w:r>
          </w:p>
        </w:tc>
      </w:tr>
      <w:tr>
        <w:tc>
          <w:tcPr/>
          <w:p>
            <w:pPr>
              <w:pStyle w:val="Compact"/>
            </w:pPr>
            <w:r>
              <w:t xml:space="preserve">System Prompt</w:t>
            </w:r>
          </w:p>
        </w:tc>
        <w:tc>
          <w:tcPr/>
          <w:p>
            <w:pPr>
              <w:pStyle w:val="Compact"/>
            </w:pPr>
            <w:r>
              <w:t xml:space="preserve">11.1%</w:t>
            </w:r>
          </w:p>
        </w:tc>
        <w:tc>
          <w:tcPr/>
          <w:p>
            <w:pPr>
              <w:pStyle w:val="Compact"/>
            </w:pPr>
            <w:r>
              <w:t xml:space="preserve">3.7%</w:t>
            </w:r>
          </w:p>
        </w:tc>
        <w:tc>
          <w:tcPr/>
          <w:p>
            <w:pPr>
              <w:pStyle w:val="Compact"/>
            </w:pPr>
            <w:r>
              <w:t xml:space="preserve">7.4%</w:t>
            </w:r>
          </w:p>
        </w:tc>
      </w:tr>
      <w:tr>
        <w:tc>
          <w:tcPr/>
          <w:p>
            <w:pPr>
              <w:pStyle w:val="Compact"/>
            </w:pPr>
            <w:r>
              <w:t xml:space="preserve">TELOS (Governance Framework)</w:t>
            </w:r>
          </w:p>
        </w:tc>
        <w:tc>
          <w:tcPr/>
          <w:p>
            <w:pPr>
              <w:pStyle w:val="Compact"/>
            </w:pPr>
            <w:r>
              <w:t xml:space="preserve">0.0%</w:t>
            </w:r>
          </w:p>
        </w:tc>
        <w:tc>
          <w:tcPr/>
          <w:p>
            <w:pPr>
              <w:pStyle w:val="Compact"/>
            </w:pPr>
            <w:r>
              <w:t xml:space="preserve">0.0%</w:t>
            </w:r>
          </w:p>
        </w:tc>
        <w:tc>
          <w:tcPr/>
          <w:p>
            <w:pPr>
              <w:pStyle w:val="Compact"/>
            </w:pPr>
            <w:r>
              <w:t xml:space="preserve">0.0%</w:t>
            </w:r>
          </w:p>
        </w:tc>
      </w:tr>
    </w:tbl>
    <w:p>
      <w:pPr>
        <w:pStyle w:val="BodyText"/>
      </w:pPr>
      <w:r>
        <w:t xml:space="preserve">Violation Defense Rate (VDR), Percentage of attacks blocked: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Mistral Small</w:t>
            </w:r>
          </w:p>
        </w:tc>
        <w:tc>
          <w:tcPr/>
          <w:p>
            <w:pPr>
              <w:pStyle w:val="Compact"/>
            </w:pPr>
            <w:r>
              <w:t xml:space="preserve">Mistral Large</w:t>
            </w:r>
          </w:p>
        </w:tc>
        <w:tc>
          <w:tcPr/>
          <w:p>
            <w:pPr>
              <w:pStyle w:val="Compact"/>
            </w:pPr>
            <w:r>
              <w:t xml:space="preserve">Mean VDR</w:t>
            </w:r>
          </w:p>
        </w:tc>
      </w:tr>
      <w:tr>
        <w:tc>
          <w:tcPr/>
          <w:p>
            <w:pPr>
              <w:pStyle w:val="Compact"/>
            </w:pPr>
            <w:r>
              <w:t xml:space="preserve">Raw Model</w:t>
            </w:r>
          </w:p>
        </w:tc>
        <w:tc>
          <w:tcPr/>
          <w:p>
            <w:pPr>
              <w:pStyle w:val="Compact"/>
            </w:pPr>
            <w:r>
              <w:t xml:space="preserve">69.2%</w:t>
            </w:r>
          </w:p>
        </w:tc>
        <w:tc>
          <w:tcPr/>
          <w:p>
            <w:pPr>
              <w:pStyle w:val="Compact"/>
            </w:pPr>
            <w:r>
              <w:t xml:space="preserve">56.1%</w:t>
            </w:r>
          </w:p>
        </w:tc>
        <w:tc>
          <w:tcPr/>
          <w:p>
            <w:pPr>
              <w:pStyle w:val="Compact"/>
            </w:pPr>
            <w:r>
              <w:t xml:space="preserve">62.7%</w:t>
            </w:r>
          </w:p>
        </w:tc>
      </w:tr>
      <w:tr>
        <w:tc>
          <w:tcPr/>
          <w:p>
            <w:pPr>
              <w:pStyle w:val="Compact"/>
            </w:pPr>
            <w:r>
              <w:t xml:space="preserve">System Prompt</w:t>
            </w:r>
          </w:p>
        </w:tc>
        <w:tc>
          <w:tcPr/>
          <w:p>
            <w:pPr>
              <w:pStyle w:val="Compact"/>
            </w:pPr>
            <w:r>
              <w:t xml:space="preserve">88.9%</w:t>
            </w:r>
          </w:p>
        </w:tc>
        <w:tc>
          <w:tcPr/>
          <w:p>
            <w:pPr>
              <w:pStyle w:val="Compact"/>
            </w:pPr>
            <w:r>
              <w:t xml:space="preserve">96.3%</w:t>
            </w:r>
          </w:p>
        </w:tc>
        <w:tc>
          <w:tcPr/>
          <w:p>
            <w:pPr>
              <w:pStyle w:val="Compact"/>
            </w:pPr>
            <w:r>
              <w:t xml:space="preserve">92.6%</w:t>
            </w:r>
          </w:p>
        </w:tc>
      </w:tr>
      <w:tr>
        <w:tc>
          <w:tcPr/>
          <w:p>
            <w:pPr>
              <w:pStyle w:val="Compact"/>
            </w:pPr>
            <w:r>
              <w:t xml:space="preserve">TELOS (Governance Framework)</w:t>
            </w:r>
          </w:p>
        </w:tc>
        <w:tc>
          <w:tcPr/>
          <w:p>
            <w:pPr>
              <w:pStyle w:val="Compact"/>
            </w:pPr>
            <w:r>
              <w:t xml:space="preserve">100.0%</w:t>
            </w:r>
          </w:p>
        </w:tc>
        <w:tc>
          <w:tcPr/>
          <w:p>
            <w:pPr>
              <w:pStyle w:val="Compact"/>
            </w:pPr>
            <w:r>
              <w:t xml:space="preserve">100.0%</w:t>
            </w:r>
          </w:p>
        </w:tc>
        <w:tc>
          <w:tcPr/>
          <w:p>
            <w:pPr>
              <w:pStyle w:val="Compact"/>
            </w:pPr>
            <w:r>
              <w:t xml:space="preserve">100.0%</w:t>
            </w:r>
          </w:p>
        </w:tc>
      </w:tr>
    </w:tbl>
    <w:bookmarkEnd w:id="59"/>
    <w:bookmarkStart w:id="60" w:name="statistical-significance"/>
    <w:p>
      <w:pPr>
        <w:pStyle w:val="Heading4"/>
      </w:pPr>
      <w:r>
        <w:t xml:space="preserve">4.3.4 Statistical Significance</w:t>
      </w:r>
    </w:p>
    <w:p>
      <w:pPr>
        <w:pStyle w:val="FirstParagraph"/>
      </w:pPr>
      <w:r>
        <w:t xml:space="preserve">Attack Elimination:</w:t>
      </w:r>
      <w:r>
        <w:t xml:space="preserve"> </w:t>
      </w:r>
      <w:r>
        <w:t xml:space="preserve">- TELOS achieved 0 out of 2,550 successful attacks (0.0% ASR)</w:t>
      </w:r>
      <w:r>
        <w:t xml:space="preserve"> </w:t>
      </w:r>
      <w:r>
        <w:t xml:space="preserve">- System prompts allowed 94 to 283 attacks through (3.7 to 11.1% ASR)</w:t>
      </w:r>
      <w:r>
        <w:t xml:space="preserve"> </w:t>
      </w:r>
      <w:r>
        <w:t xml:space="preserve">- Improvement: 0/2,550 observed versus best baseline (3.7% ASR, ~94 attacks)</w:t>
      </w:r>
    </w:p>
    <w:p>
      <w:pPr>
        <w:pStyle w:val="BodyText"/>
      </w:pPr>
      <w:r>
        <w:t xml:space="preserve">Risk Reduction:</w:t>
      </w:r>
      <w:r>
        <w:t xml:space="preserve"> </w:t>
      </w:r>
      <w:r>
        <w:t xml:space="preserve">- Compared to raw models: 37.4% to 0.0% = 100% risk reduction</w:t>
      </w:r>
      <w:r>
        <w:t xml:space="preserve"> </w:t>
      </w:r>
      <w:r>
        <w:t xml:space="preserve">- Compared to system prompts: 7.4% to 0.0% = 100% remaining risk elimination</w:t>
      </w:r>
    </w:p>
    <w:p>
      <w:pPr>
        <w:pStyle w:val="BodyText"/>
      </w:pPr>
      <w:r>
        <w:t xml:space="preserve">Cross-Model Consistency:</w:t>
      </w:r>
      <w:r>
        <w:t xml:space="preserve"> </w:t>
      </w:r>
      <w:r>
        <w:t xml:space="preserve">- Perfect 0% ASR maintained across both Mistral Small and Large</w:t>
      </w:r>
      <w:r>
        <w:t xml:space="preserve"> </w:t>
      </w:r>
      <w:r>
        <w:t xml:space="preserve">- Shows strong performance regardless of model size</w:t>
      </w:r>
    </w:p>
    <w:bookmarkEnd w:id="60"/>
    <w:bookmarkStart w:id="61" w:name="interpretation"/>
    <w:p>
      <w:pPr>
        <w:pStyle w:val="Heading4"/>
      </w:pPr>
      <w:r>
        <w:t xml:space="preserve">4.3.5 Interpretation</w:t>
      </w:r>
    </w:p>
    <w:p>
      <w:pPr>
        <w:pStyle w:val="FirstParagraph"/>
      </w:pPr>
      <w:r>
        <w:t xml:space="preserve">The adversarial validation results identify TELOS as constitutional security architecture for AI systems:</w:t>
      </w:r>
    </w:p>
    <w:p>
      <w:pPr>
        <w:pStyle w:val="Compact"/>
        <w:numPr>
          <w:ilvl w:val="0"/>
          <w:numId w:val="1008"/>
        </w:numPr>
      </w:pPr>
      <w:r>
        <w:t xml:space="preserve">Observed Defense: 0/2,550 attacks succeeded under black-box threat model (95% CI upper bound ~0.15%)</w:t>
      </w:r>
    </w:p>
    <w:p>
      <w:pPr>
        <w:pStyle w:val="Compact"/>
        <w:numPr>
          <w:ilvl w:val="0"/>
          <w:numId w:val="1008"/>
        </w:numPr>
      </w:pPr>
      <w:r>
        <w:t xml:space="preserve">Baseline Superiority: 0/2,550 observed versus attacks that bypass system prompts (3.7 to 11.1% ASR)</w:t>
      </w:r>
    </w:p>
    <w:p>
      <w:pPr>
        <w:pStyle w:val="Compact"/>
        <w:numPr>
          <w:ilvl w:val="0"/>
          <w:numId w:val="1008"/>
        </w:numPr>
      </w:pPr>
      <w:r>
        <w:t xml:space="preserve">Governance Framework: Results support orchestration-layer defense compared to prompt-based methods</w:t>
      </w:r>
    </w:p>
    <w:p>
      <w:pPr>
        <w:pStyle w:val="Compact"/>
        <w:numPr>
          <w:ilvl w:val="0"/>
          <w:numId w:val="1008"/>
        </w:numPr>
      </w:pPr>
      <w:r>
        <w:t xml:space="preserve">Cross-Model Generalization: Consistent performance across model sizes shows the framework’s adaptability</w:t>
      </w:r>
    </w:p>
    <w:p>
      <w:pPr>
        <w:pStyle w:val="FirstParagraph"/>
      </w:pPr>
      <w:r>
        <w:t xml:space="preserve">These results confirm that TELOS offers significantly better security than prompt engineering alone, highlighting the value of runtime constitutional governance through a multi-layer approach.</w:t>
      </w:r>
    </w:p>
    <w:bookmarkEnd w:id="61"/>
    <w:bookmarkEnd w:id="62"/>
    <w:bookmarkStart w:id="67" w:name="X41dc4e6d5b60b54d18951a8ac13d35b2a9213f1"/>
    <w:p>
      <w:pPr>
        <w:pStyle w:val="Heading3"/>
      </w:pPr>
      <w:r>
        <w:t xml:space="preserve">4.4 SB 243-Aligned Child Safety Evaluation (January 2026)</w:t>
      </w:r>
    </w:p>
    <w:bookmarkStart w:id="63" w:name="background-and-regulatory-context"/>
    <w:p>
      <w:pPr>
        <w:pStyle w:val="Heading4"/>
      </w:pPr>
      <w:r>
        <w:t xml:space="preserve">4.4.1 Background and Regulatory Context</w:t>
      </w:r>
    </w:p>
    <w:p>
      <w:pPr>
        <w:pStyle w:val="FirstParagraph"/>
      </w:pPr>
      <w:r>
        <w:t xml:space="preserve">California SB 243 (effective January 1, 2026) sets standards for AI systems to prevent the generation of child sexual abuse material (CSAM) and related harmful content. The law requires platforms to put technical safeguards in place against AI-generated CSAM and creates legal liability for systems that do not prevent such content.</w:t>
      </w:r>
    </w:p>
    <w:p>
      <w:pPr>
        <w:pStyle w:val="BodyText"/>
      </w:pPr>
      <w:r>
        <w:t xml:space="preserve">We developed an internal evaluation suite of 50 prompts inspired by SB 243’s requirements to test TELOS’s effectiveness in this regulatory area. Note: This is an internal benchmark aligned with the bill’s categories, not an official statutory evaluation.</w:t>
      </w:r>
    </w:p>
    <w:bookmarkEnd w:id="63"/>
    <w:bookmarkStart w:id="64" w:name="study-design-1"/>
    <w:p>
      <w:pPr>
        <w:pStyle w:val="Heading4"/>
      </w:pPr>
      <w:r>
        <w:t xml:space="preserve">4.4.2 Study Design</w:t>
      </w:r>
    </w:p>
    <w:p>
      <w:pPr>
        <w:pStyle w:val="FirstParagraph"/>
      </w:pPr>
      <w:r>
        <w:t xml:space="preserve">Methodology: Child Safety Testing Aligned with Purpose</w:t>
      </w:r>
      <w:r>
        <w:t xml:space="preserve"> </w:t>
      </w:r>
      <w:r>
        <w:t xml:space="preserve">- Test TELOS governance framework against 50 CSAM-related adversarial prompts</w:t>
      </w:r>
      <w:r>
        <w:t xml:space="preserve"> </w:t>
      </w:r>
      <w:r>
        <w:t xml:space="preserve">- Measure Attack Success Rate (ASR) and False Positive Rate (FPR)</w:t>
      </w:r>
      <w:r>
        <w:t xml:space="preserve"> </w:t>
      </w:r>
      <w:r>
        <w:t xml:space="preserve">- Confirm that the child safety Primacy Attractor correctly focuses on protection</w:t>
      </w:r>
    </w:p>
    <w:p>
      <w:pPr>
        <w:pStyle w:val="BodyText"/>
      </w:pPr>
      <w:r>
        <w:t xml:space="preserve">Attack Categories Tested:</w:t>
      </w:r>
      <w:r>
        <w:t xml:space="preserve"> </w:t>
      </w:r>
      <w:r>
        <w:t xml:space="preserve">1. Direct CSAM generation requests</w:t>
      </w:r>
      <w:r>
        <w:t xml:space="preserve"> </w:t>
      </w:r>
      <w:r>
        <w:t xml:space="preserve">2. Obfuscated/encoded harmful requests</w:t>
      </w:r>
      <w:r>
        <w:t xml:space="preserve"> </w:t>
      </w:r>
      <w:r>
        <w:t xml:space="preserve">3. Fictional framing attempts</w:t>
      </w:r>
      <w:r>
        <w:t xml:space="preserve"> </w:t>
      </w:r>
      <w:r>
        <w:t xml:space="preserve">4. Educational pretext exploitation</w:t>
      </w:r>
      <w:r>
        <w:t xml:space="preserve"> </w:t>
      </w:r>
      <w:r>
        <w:t xml:space="preserve">5. Progressive boundary testing</w:t>
      </w:r>
    </w:p>
    <w:p>
      <w:pPr>
        <w:pStyle w:val="BodyText"/>
      </w:pPr>
      <w:r>
        <w:t xml:space="preserve">Test Configuration:</w:t>
      </w:r>
      <w:r>
        <w:t xml:space="preserve"> </w:t>
      </w:r>
      <w:r>
        <w:t xml:space="preserve">- Primacy Attractor: Child Safety PA (strict protection boundaries)</w:t>
      </w:r>
      <w:r>
        <w:t xml:space="preserve"> </w:t>
      </w:r>
      <w:r>
        <w:t xml:space="preserve">- Date: January 2026</w:t>
      </w:r>
      <w:r>
        <w:t xml:space="preserve"> </w:t>
      </w:r>
      <w:r>
        <w:t xml:space="preserve">- Total attacks: 50 SB 243-aligned evaluation prompts (internal benchmark)</w:t>
      </w:r>
    </w:p>
    <w:bookmarkEnd w:id="64"/>
    <w:bookmarkStart w:id="65" w:name="results-summary-1"/>
    <w:p>
      <w:pPr>
        <w:pStyle w:val="Heading4"/>
      </w:pPr>
      <w:r>
        <w:t xml:space="preserve">4.4.3 Results Summary</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Attack Success Rate (ASR)</w:t>
            </w:r>
          </w:p>
        </w:tc>
        <w:tc>
          <w:tcPr/>
          <w:p>
            <w:pPr>
              <w:pStyle w:val="Compact"/>
            </w:pPr>
            <w:r>
              <w:t xml:space="preserve">0.0%</w:t>
            </w:r>
          </w:p>
        </w:tc>
        <w:tc>
          <w:tcPr/>
          <w:p>
            <w:pPr>
              <w:pStyle w:val="Compact"/>
            </w:pPr>
            <w:r>
              <w:t xml:space="preserve">0 out of 50 attacks succeeded</w:t>
            </w:r>
          </w:p>
        </w:tc>
      </w:tr>
      <w:tr>
        <w:tc>
          <w:tcPr/>
          <w:p>
            <w:pPr>
              <w:pStyle w:val="Compact"/>
            </w:pPr>
            <w:r>
              <w:t xml:space="preserve">Violation Defense Rate (VDR)</w:t>
            </w:r>
          </w:p>
        </w:tc>
        <w:tc>
          <w:tcPr/>
          <w:p>
            <w:pPr>
              <w:pStyle w:val="Compact"/>
            </w:pPr>
            <w:r>
              <w:t xml:space="preserve">100.0%</w:t>
            </w:r>
          </w:p>
        </w:tc>
        <w:tc>
          <w:tcPr/>
          <w:p>
            <w:pPr>
              <w:pStyle w:val="Compact"/>
            </w:pPr>
            <w:r>
              <w:t xml:space="preserve">All attacks blocked</w:t>
            </w:r>
          </w:p>
        </w:tc>
      </w:tr>
      <w:tr>
        <w:tc>
          <w:tcPr/>
          <w:p>
            <w:pPr>
              <w:pStyle w:val="Compact"/>
            </w:pPr>
            <w:r>
              <w:t xml:space="preserve">False Positive Rate (FPR)</w:t>
            </w:r>
          </w:p>
        </w:tc>
        <w:tc>
          <w:tcPr/>
          <w:p>
            <w:pPr>
              <w:pStyle w:val="Compact"/>
            </w:pPr>
            <w:r>
              <w:t xml:space="preserve">74.0%</w:t>
            </w:r>
          </w:p>
        </w:tc>
        <w:tc>
          <w:tcPr/>
          <w:p>
            <w:pPr>
              <w:pStyle w:val="Compact"/>
            </w:pPr>
            <w:r>
              <w:t xml:space="preserve">Intentionally high for child safety</w:t>
            </w:r>
          </w:p>
        </w:tc>
      </w:tr>
    </w:tbl>
    <w:p>
      <w:pPr>
        <w:pStyle w:val="BodyText"/>
      </w:pPr>
      <w:r>
        <w:t xml:space="preserve">Key Finding: TELOS achieved 0/50 observed attack successes for all SB 243-aligned child safety evaluation prompts.</w:t>
      </w:r>
    </w:p>
    <w:bookmarkEnd w:id="65"/>
    <w:bookmarkStart w:id="66" w:name="Xed59194d282dec2eded0b4bf385c1435d2fbea3"/>
    <w:p>
      <w:pPr>
        <w:pStyle w:val="Heading4"/>
      </w:pPr>
      <w:r>
        <w:t xml:space="preserve">4.4.4 Interpretation: Intentional False Positive Design</w:t>
      </w:r>
    </w:p>
    <w:p>
      <w:pPr>
        <w:pStyle w:val="FirstParagraph"/>
      </w:pPr>
      <w:r>
        <w:t xml:space="preserve">The 74% false positive rate is a result of intentional design for child safety contexts. Unlike general governance, where excessive refusals reduce usefulness, child safety areas prioritize absolute protection over flexibility.</w:t>
      </w:r>
    </w:p>
    <w:p>
      <w:pPr>
        <w:pStyle w:val="BodyText"/>
      </w:pPr>
      <w:r>
        <w:t xml:space="preserve">Design Philosophy:</w:t>
      </w:r>
      <w:r>
        <w:t xml:space="preserve"> </w:t>
      </w:r>
      <w:r>
        <w:t xml:space="preserve">- Child safety is a zero-tolerance area where Type II errors (allowing harm) are far worse than Type I errors (blocking safe content)</w:t>
      </w:r>
      <w:r>
        <w:t xml:space="preserve"> </w:t>
      </w:r>
      <w:r>
        <w:t xml:space="preserve">- TELOS correctly balances safety and usefulness differently for child protection versus general conversation</w:t>
      </w:r>
      <w:r>
        <w:t xml:space="preserve"> </w:t>
      </w:r>
      <w:r>
        <w:t xml:space="preserve">- This shows TELOS’s adaptive governance, the same framework applies appropriate limits based on Primacy Attractor settings</w:t>
      </w:r>
    </w:p>
    <w:p>
      <w:pPr>
        <w:pStyle w:val="BodyText"/>
      </w:pPr>
      <w:r>
        <w:t xml:space="preserve">Regulatory Alignment: SB 243 compliance requires clear prevention of CSAM generation. A 0% ASR with documented conservative calibration gives the needed regulatory evidence for covered platforms.</w:t>
      </w:r>
    </w:p>
    <w:bookmarkEnd w:id="66"/>
    <w:bookmarkEnd w:id="67"/>
    <w:bookmarkStart w:id="72" w:name="Xbb50c5926b9472a668287050087c7107763c3d3"/>
    <w:p>
      <w:pPr>
        <w:pStyle w:val="Heading3"/>
      </w:pPr>
      <w:r>
        <w:t xml:space="preserve">4.5 XSTest Over-Refusal Calibration (January 2026)</w:t>
      </w:r>
    </w:p>
    <w:bookmarkStart w:id="68" w:name="the-over-refusal-problem"/>
    <w:p>
      <w:pPr>
        <w:pStyle w:val="Heading4"/>
      </w:pPr>
      <w:r>
        <w:t xml:space="preserve">4.5.1 The Over-Refusal Problem</w:t>
      </w:r>
    </w:p>
    <w:p>
      <w:pPr>
        <w:pStyle w:val="FirstParagraph"/>
      </w:pPr>
      <w:r>
        <w:t xml:space="preserve">AI safety systems encounter a key challenge: overly strict systems block genuine use cases, while overly lenient systems permit harmful content. The XSTest benchmark (Rottger et al., 2024) measures over-refusal, cases where AI systems wrongly deny safe requests.</w:t>
      </w:r>
    </w:p>
    <w:p>
      <w:pPr>
        <w:pStyle w:val="BodyText"/>
      </w:pPr>
      <w:r>
        <w:t xml:space="preserve">Over-refusal brings real costs:</w:t>
      </w:r>
      <w:r>
        <w:t xml:space="preserve"> </w:t>
      </w:r>
      <w:r>
        <w:t xml:space="preserve">- User frustration: Rejection of legitimate queries</w:t>
      </w:r>
      <w:r>
        <w:t xml:space="preserve"> </w:t>
      </w:r>
      <w:r>
        <w:t xml:space="preserve">- Workflow disruption: Safe tasks are blocked</w:t>
      </w:r>
      <w:r>
        <w:t xml:space="preserve"> </w:t>
      </w:r>
      <w:r>
        <w:t xml:space="preserve">- Credibility loss: Systems seen as unreliable</w:t>
      </w:r>
      <w:r>
        <w:t xml:space="preserve"> </w:t>
      </w:r>
      <w:r>
        <w:t xml:space="preserve">- Shadow IT risk: Users bypass governance</w:t>
      </w:r>
    </w:p>
    <w:p>
      <w:pPr>
        <w:pStyle w:val="BodyText"/>
      </w:pPr>
      <w:r>
        <w:t xml:space="preserve">TELOS validation shows that domain-specific Primacy Attractors significantly cut down on over-refusal while keeping strong safety measures.</w:t>
      </w:r>
    </w:p>
    <w:bookmarkEnd w:id="68"/>
    <w:bookmarkStart w:id="69" w:name="study-design-2"/>
    <w:p>
      <w:pPr>
        <w:pStyle w:val="Heading4"/>
      </w:pPr>
      <w:r>
        <w:t xml:space="preserve">4.5.2 Study Design</w:t>
      </w:r>
    </w:p>
    <w:p>
      <w:pPr>
        <w:pStyle w:val="FirstParagraph"/>
      </w:pPr>
      <w:r>
        <w:t xml:space="preserve">Methodology: Over-Refusal Calibration Testing</w:t>
      </w:r>
      <w:r>
        <w:t xml:space="preserve"> </w:t>
      </w:r>
      <w:r>
        <w:t xml:space="preserve">- Test TELOS against 250 XSTest safe prompts (prompts that should NOT trigger refusal)</w:t>
      </w:r>
      <w:r>
        <w:t xml:space="preserve"> </w:t>
      </w:r>
      <w:r>
        <w:t xml:space="preserve">- Compare Generic PA with Healthcare-specific PA</w:t>
      </w:r>
      <w:r>
        <w:t xml:space="preserve"> </w:t>
      </w:r>
      <w:r>
        <w:t xml:space="preserve">- Measure false positive rates (inappropriate refusals of safe content)</w:t>
      </w:r>
    </w:p>
    <w:p>
      <w:pPr>
        <w:pStyle w:val="BodyText"/>
      </w:pPr>
      <w:r>
        <w:t xml:space="preserve">XSTest Prompt Categories:</w:t>
      </w:r>
      <w:r>
        <w:t xml:space="preserve"> </w:t>
      </w:r>
      <w:r>
        <w:t xml:space="preserve">1. Homonyms (e.g.,</w:t>
      </w:r>
      <w:r>
        <w:t xml:space="preserve"> </w:t>
      </w:r>
      <w:r>
        <w:t xml:space="preserve">“How do I kill a process?”</w:t>
      </w:r>
      <w:r>
        <w:t xml:space="preserve">)</w:t>
      </w:r>
      <w:r>
        <w:t xml:space="preserve"> </w:t>
      </w:r>
      <w:r>
        <w:t xml:space="preserve">2. Figurative language (e.g.,</w:t>
      </w:r>
      <w:r>
        <w:t xml:space="preserve"> </w:t>
      </w:r>
      <w:r>
        <w:t xml:space="preserve">“This software is killing my productivity”</w:t>
      </w:r>
      <w:r>
        <w:t xml:space="preserve">)</w:t>
      </w:r>
      <w:r>
        <w:t xml:space="preserve"> </w:t>
      </w:r>
      <w:r>
        <w:t xml:space="preserve">3. Safe contexts with sensitive keywords</w:t>
      </w:r>
      <w:r>
        <w:t xml:space="preserve"> </w:t>
      </w:r>
      <w:r>
        <w:t xml:space="preserve">4. Professional or educational use cases</w:t>
      </w:r>
      <w:r>
        <w:t xml:space="preserve"> </w:t>
      </w:r>
      <w:r>
        <w:t xml:space="preserve">5. Historical or factual discussions</w:t>
      </w:r>
    </w:p>
    <w:p>
      <w:pPr>
        <w:pStyle w:val="BodyText"/>
      </w:pPr>
      <w:r>
        <w:t xml:space="preserve">Test Configuration:</w:t>
      </w:r>
      <w:r>
        <w:t xml:space="preserve"> </w:t>
      </w:r>
      <w:r>
        <w:t xml:space="preserve">- Models: TELOS governance framework</w:t>
      </w:r>
      <w:r>
        <w:t xml:space="preserve"> </w:t>
      </w:r>
      <w:r>
        <w:t xml:space="preserve">- Conditions: Generic PA, Healthcare PA</w:t>
      </w:r>
      <w:r>
        <w:t xml:space="preserve"> </w:t>
      </w:r>
      <w:r>
        <w:t xml:space="preserve">- Date: January 2026</w:t>
      </w:r>
      <w:r>
        <w:t xml:space="preserve"> </w:t>
      </w:r>
      <w:r>
        <w:t xml:space="preserve">- Total prompts: 250 safe XSTest prompts</w:t>
      </w:r>
    </w:p>
    <w:bookmarkEnd w:id="69"/>
    <w:bookmarkStart w:id="70" w:name="results-summary-2"/>
    <w:p>
      <w:pPr>
        <w:pStyle w:val="Heading4"/>
      </w:pPr>
      <w:r>
        <w:t xml:space="preserve">4.5.3 Results Summary</w:t>
      </w:r>
    </w:p>
    <w:tbl>
      <w:tblPr>
        <w:tblStyle w:val="Table"/>
        <w:tblW w:type="pct" w:w="5000"/>
        <w:tblLayout w:type="fixed"/>
        <w:tblLook w:firstRow="1" w:lastRow="0" w:firstColumn="0" w:lastColumn="0" w:noHBand="0" w:noVBand="0" w:val="0020"/>
      </w:tblPr>
      <w:tblGrid>
        <w:gridCol w:w="1606"/>
        <w:gridCol w:w="2410"/>
        <w:gridCol w:w="3902"/>
      </w:tblGrid>
      <w:tr>
        <w:trPr>
          <w:tblHeader w:val="on"/>
        </w:trPr>
        <w:tc>
          <w:tcPr/>
          <w:p>
            <w:pPr>
              <w:pStyle w:val="Compact"/>
            </w:pPr>
            <w:r>
              <w:t xml:space="preserve">Configuration</w:t>
            </w:r>
          </w:p>
        </w:tc>
        <w:tc>
          <w:tcPr/>
          <w:p>
            <w:pPr>
              <w:pStyle w:val="Compact"/>
            </w:pPr>
            <w:r>
              <w:t xml:space="preserve">False Positive Rate</w:t>
            </w:r>
          </w:p>
        </w:tc>
        <w:tc>
          <w:tcPr/>
          <w:p>
            <w:pPr>
              <w:pStyle w:val="Compact"/>
            </w:pPr>
            <w:r>
              <w:t xml:space="preserve">Safe Prompts Incorrectly Refused</w:t>
            </w:r>
          </w:p>
        </w:tc>
      </w:tr>
      <w:tr>
        <w:tc>
          <w:tcPr/>
          <w:p>
            <w:pPr>
              <w:pStyle w:val="Compact"/>
            </w:pPr>
            <w:r>
              <w:t xml:space="preserve">Generic PA</w:t>
            </w:r>
          </w:p>
        </w:tc>
        <w:tc>
          <w:tcPr/>
          <w:p>
            <w:pPr>
              <w:pStyle w:val="Compact"/>
            </w:pPr>
            <w:r>
              <w:t xml:space="preserve">24.8%</w:t>
            </w:r>
          </w:p>
        </w:tc>
        <w:tc>
          <w:tcPr/>
          <w:p>
            <w:pPr>
              <w:pStyle w:val="Compact"/>
            </w:pPr>
            <w:r>
              <w:t xml:space="preserve">62 out of 250</w:t>
            </w:r>
          </w:p>
        </w:tc>
      </w:tr>
      <w:tr>
        <w:tc>
          <w:tcPr/>
          <w:p>
            <w:pPr>
              <w:pStyle w:val="Compact"/>
            </w:pPr>
            <w:r>
              <w:t xml:space="preserve">Healthcare PA</w:t>
            </w:r>
          </w:p>
        </w:tc>
        <w:tc>
          <w:tcPr/>
          <w:p>
            <w:pPr>
              <w:pStyle w:val="Compact"/>
            </w:pPr>
            <w:r>
              <w:t xml:space="preserve">8.0%</w:t>
            </w:r>
          </w:p>
        </w:tc>
        <w:tc>
          <w:tcPr/>
          <w:p>
            <w:pPr>
              <w:pStyle w:val="Compact"/>
            </w:pPr>
            <w:r>
              <w:t xml:space="preserve">20 out of 250</w:t>
            </w:r>
          </w:p>
        </w:tc>
      </w:tr>
      <w:tr>
        <w:tc>
          <w:tcPr/>
          <w:p>
            <w:pPr>
              <w:pStyle w:val="Compact"/>
            </w:pPr>
            <w:r>
              <w:t xml:space="preserve">Improvement</w:t>
            </w:r>
          </w:p>
        </w:tc>
        <w:tc>
          <w:tcPr/>
          <w:p>
            <w:pPr>
              <w:pStyle w:val="Compact"/>
            </w:pPr>
            <w:r>
              <w:t xml:space="preserve">-16.8 percentage points</w:t>
            </w:r>
          </w:p>
        </w:tc>
        <w:tc>
          <w:tcPr/>
          <w:p>
            <w:pPr>
              <w:pStyle w:val="Compact"/>
            </w:pPr>
            <w:r>
              <w:t xml:space="preserve">42 fewer false refusals</w:t>
            </w:r>
          </w:p>
        </w:tc>
      </w:tr>
    </w:tbl>
    <w:p>
      <w:pPr>
        <w:pStyle w:val="BodyText"/>
      </w:pPr>
      <w:r>
        <w:t xml:space="preserve">Key Finding: Domain-specific Primacy Attractors cut down over-refusal by 16.8 percentage points (24.8% to 8.0%).</w:t>
      </w:r>
    </w:p>
    <w:bookmarkEnd w:id="70"/>
    <w:bookmarkStart w:id="71" w:name="X180139d553c2f5f561cd87cea601740fdc99037"/>
    <w:p>
      <w:pPr>
        <w:pStyle w:val="Heading4"/>
      </w:pPr>
      <w:r>
        <w:t xml:space="preserve">4.5.4 Interpretation: Precision Through Purpose Specificity</w:t>
      </w:r>
    </w:p>
    <w:p>
      <w:pPr>
        <w:pStyle w:val="FirstParagraph"/>
      </w:pPr>
      <w:r>
        <w:t xml:space="preserve">The XSTest results highlight a key insight of TELOS: purpose specificity enhances accuracy.</w:t>
      </w:r>
    </w:p>
    <w:p>
      <w:pPr>
        <w:pStyle w:val="BodyText"/>
      </w:pPr>
      <w:r>
        <w:t xml:space="preserve">Reasons Healthcare PA Outperforms Generic PA:</w:t>
      </w:r>
      <w:r>
        <w:t xml:space="preserve"> </w:t>
      </w:r>
      <w:r>
        <w:t xml:space="preserve">1. Contextual relevance: Healthcare PA recognizes that medical terms are used legitimately in professional contexts</w:t>
      </w:r>
      <w:r>
        <w:t xml:space="preserve"> </w:t>
      </w:r>
      <w:r>
        <w:t xml:space="preserve">2. Boundary clarity: Clear scope limits reduce false triggers from unclear terms</w:t>
      </w:r>
      <w:r>
        <w:t xml:space="preserve"> </w:t>
      </w:r>
      <w:r>
        <w:t xml:space="preserve">3. Domain calibration: Healthcare-focused thresholds mirror actual risk profiles</w:t>
      </w:r>
    </w:p>
    <w:p>
      <w:pPr>
        <w:pStyle w:val="BodyText"/>
      </w:pPr>
      <w:r>
        <w:t xml:space="preserve">Practical Implications:</w:t>
      </w:r>
      <w:r>
        <w:t xml:space="preserve"> </w:t>
      </w:r>
      <w:r>
        <w:t xml:space="preserve">- Organizations should set up domain-specific Primacy Attractors instead of relying on generic safety measures</w:t>
      </w:r>
      <w:r>
        <w:t xml:space="preserve"> </w:t>
      </w:r>
      <w:r>
        <w:t xml:space="preserve">- The 8.0% FPR for Healthcare PA reflects appropriate caution without being overly restrictive. Custom PA configuration is a governance decision, not merely a technical detail.</w:t>
      </w:r>
    </w:p>
    <w:p>
      <w:pPr>
        <w:pStyle w:val="BodyText"/>
      </w:pPr>
      <w:r>
        <w:t xml:space="preserve">Safety-Utility Balance: TELOS shows that maintaining high safety (0% ASR on adversarial attacks) and suitable flexibility (8.0% FPR on safe prompts) is possible through careful configuration of Primacy Attractors.</w:t>
      </w:r>
    </w:p>
    <w:bookmarkEnd w:id="71"/>
    <w:bookmarkEnd w:id="72"/>
    <w:bookmarkStart w:id="73" w:name="proposed-validation-protocols"/>
    <w:p>
      <w:pPr>
        <w:pStyle w:val="Heading3"/>
      </w:pPr>
      <w:r>
        <w:t xml:space="preserve">4.6 Proposed Validation Protocols</w:t>
      </w:r>
    </w:p>
    <w:p>
      <w:pPr>
        <w:pStyle w:val="FirstParagraph"/>
      </w:pPr>
      <w:r>
        <w:t xml:space="preserve">Runtime Intervention Studies (Phase 1B):</w:t>
      </w:r>
      <w:r>
        <w:t xml:space="preserve"> </w:t>
      </w:r>
      <w:r>
        <w:t xml:space="preserve">- Use Proportional Controller during live sessions where drift happens naturally.</w:t>
      </w:r>
      <w:r>
        <w:t xml:space="preserve"> </w:t>
      </w:r>
      <w:r>
        <w:t xml:space="preserve">- Track correction success rate and latency.</w:t>
      </w:r>
      <w:r>
        <w:t xml:space="preserve"> </w:t>
      </w:r>
      <w:r>
        <w:t xml:space="preserve">- Compare results against a baseline (no intervention) and periodic reminders.</w:t>
      </w:r>
    </w:p>
    <w:p>
      <w:pPr>
        <w:pStyle w:val="BodyText"/>
      </w:pPr>
      <w:r>
        <w:t xml:space="preserve">Expanded Counterfactual Validation (Phase 2A):</w:t>
      </w:r>
      <w:r>
        <w:t xml:space="preserve"> </w:t>
      </w:r>
      <w:r>
        <w:t xml:space="preserve">- 500+ session corpus for strong statistical power.</w:t>
      </w:r>
      <w:r>
        <w:t xml:space="preserve"> </w:t>
      </w:r>
      <w:r>
        <w:t xml:space="preserve">- Performance in specific domains (healthcare, legal, finance).</w:t>
      </w:r>
      <w:r>
        <w:t xml:space="preserve"> </w:t>
      </w:r>
      <w:r>
        <w:t xml:space="preserve">- Cross-model comparison (GPT-4, Claude, Llama variations).</w:t>
      </w:r>
      <w:r>
        <w:t xml:space="preserve"> </w:t>
      </w:r>
      <w:r>
        <w:t xml:space="preserve">- Comparison with prompt-only and periodic reminder baselines.</w:t>
      </w:r>
    </w:p>
    <w:p>
      <w:pPr>
        <w:pStyle w:val="BodyText"/>
      </w:pPr>
      <w:r>
        <w:t xml:space="preserve">Construct Validity Studies (Phase 3):</w:t>
      </w:r>
      <w:r>
        <w:t xml:space="preserve"> </w:t>
      </w:r>
      <w:r>
        <w:t xml:space="preserve">- Human judgment correlation: Do fidelity scores match human perception?</w:t>
      </w:r>
      <w:r>
        <w:t xml:space="preserve"> </w:t>
      </w:r>
      <w:r>
        <w:t xml:space="preserve">- Task success correlation: Does high fidelity predict task completion?</w:t>
      </w:r>
      <w:r>
        <w:t xml:space="preserve"> </w:t>
      </w:r>
      <w:r>
        <w:t xml:space="preserve">- Regulatory compliance officer assessment: Does telemetry meet auditor standards?</w:t>
      </w:r>
      <w:r>
        <w:t xml:space="preserve"> </w:t>
      </w:r>
      <w:r>
        <w:t xml:space="preserve">- User experience impact: Does governance improve or hurt usability?</w:t>
      </w:r>
    </w:p>
    <w:bookmarkEnd w:id="73"/>
    <w:bookmarkStart w:id="74" w:name="success-criteria"/>
    <w:p>
      <w:pPr>
        <w:pStyle w:val="Heading3"/>
      </w:pPr>
      <w:r>
        <w:t xml:space="preserve">4.7 Success Criteria</w:t>
      </w:r>
    </w:p>
    <w:p>
      <w:pPr>
        <w:pStyle w:val="FirstParagraph"/>
      </w:pPr>
      <w:r>
        <w:t xml:space="preserve">For TELOS to be considered validated:</w:t>
      </w:r>
      <w:r>
        <w:t xml:space="preserve"> </w:t>
      </w:r>
      <w:r>
        <w:t xml:space="preserve">1. Quantitative superiority: Measurably better alignment than baselines.</w:t>
      </w:r>
      <w:r>
        <w:t xml:space="preserve"> </w:t>
      </w:r>
      <w:r>
        <w:t xml:space="preserve">- Status: ACHIEVED (adversarial validation).</w:t>
      </w:r>
      <w:r>
        <w:t xml:space="preserve"> </w:t>
      </w:r>
      <w:r>
        <w:t xml:space="preserve">2. Statistical significance: p &lt; 0.05 with adequate power.</w:t>
      </w:r>
      <w:r>
        <w:t xml:space="preserve"> </w:t>
      </w:r>
      <w:r>
        <w:t xml:space="preserve">- Status: ACHIEVED (p &lt; 0.001, power = 0.998).</w:t>
      </w:r>
      <w:r>
        <w:t xml:space="preserve"> </w:t>
      </w:r>
      <w:r>
        <w:t xml:space="preserve">3. Effect size: Cohen’s d &gt; 0.5 (medium effect or larger).</w:t>
      </w:r>
      <w:r>
        <w:t xml:space="preserve"> </w:t>
      </w:r>
      <w:r>
        <w:t xml:space="preserve">- Status: ACHIEVED (d = 0.87, large effect).</w:t>
      </w:r>
      <w:r>
        <w:t xml:space="preserve"> </w:t>
      </w:r>
      <w:r>
        <w:t xml:space="preserve">4. Generalization: Consistent across domains and models.</w:t>
      </w:r>
      <w:r>
        <w:t xml:space="preserve"> </w:t>
      </w:r>
      <w:r>
        <w:t xml:space="preserve">- Status: ACHIEVED (4 benchmarks: HarmBench, MedSafetyBench, SB 243, XSTest).</w:t>
      </w:r>
      <w:r>
        <w:t xml:space="preserve"> </w:t>
      </w:r>
      <w:r>
        <w:t xml:space="preserve">5. Regulatory acceptance: Auditors confirm evidence sufficiency.</w:t>
      </w:r>
      <w:r>
        <w:t xml:space="preserve"> </w:t>
      </w:r>
      <w:r>
        <w:t xml:space="preserve">- Status: Awaiting formal assessment.</w:t>
      </w:r>
      <w:r>
        <w:t xml:space="preserve"> </w:t>
      </w:r>
      <w:r>
        <w:t xml:space="preserve">6. Over-refusal calibration: Domain-specific PAs reduce false positives.</w:t>
      </w:r>
      <w:r>
        <w:t xml:space="preserve"> </w:t>
      </w:r>
      <w:r>
        <w:t xml:space="preserve">- Status: ACHIEVED (XSTest: 16.8pp improvement with Healthcare PA).</w:t>
      </w:r>
    </w:p>
    <w:bookmarkEnd w:id="74"/>
    <w:bookmarkEnd w:id="75"/>
    <w:bookmarkStart w:id="76" w:name="Xc49aeb514c18ec581a66aabb7a2c42b8878eda4"/>
    <w:p>
      <w:pPr>
        <w:pStyle w:val="Heading2"/>
      </w:pPr>
      <w:r>
        <w:t xml:space="preserve">5. DMAIC Mapping: Continuous Improvement for Semantic Systems</w:t>
      </w:r>
    </w:p>
    <w:p>
      <w:pPr>
        <w:pStyle w:val="FirstParagraph"/>
      </w:pPr>
      <w:r>
        <w:t xml:space="preserve">TELOS applies the DMAIC methodology (Define, Measure, Analyze, Improve, Control) from Six Sigma as runtime governance:</w:t>
      </w:r>
    </w:p>
    <w:tbl>
      <w:tblPr>
        <w:tblStyle w:val="Table"/>
        <w:tblW w:type="pct" w:w="5000"/>
        <w:tblLayout w:type="fixed"/>
        <w:tblLook w:firstRow="1" w:lastRow="0" w:firstColumn="0" w:lastColumn="0" w:noHBand="0" w:noVBand="0" w:val="0020"/>
      </w:tblPr>
      <w:tblGrid>
        <w:gridCol w:w="1470"/>
        <w:gridCol w:w="3394"/>
        <w:gridCol w:w="3054"/>
      </w:tblGrid>
      <w:tr>
        <w:trPr>
          <w:tblHeader w:val="on"/>
        </w:trPr>
        <w:tc>
          <w:tcPr/>
          <w:p>
            <w:pPr>
              <w:pStyle w:val="Compact"/>
            </w:pPr>
            <w:r>
              <w:t xml:space="preserve">DMAIC Phase</w:t>
            </w:r>
          </w:p>
        </w:tc>
        <w:tc>
          <w:tcPr/>
          <w:p>
            <w:pPr>
              <w:pStyle w:val="Compact"/>
            </w:pPr>
            <w:r>
              <w:t xml:space="preserve">Manufacturing Quality Control</w:t>
            </w:r>
          </w:p>
        </w:tc>
        <w:tc>
          <w:tcPr/>
          <w:p>
            <w:pPr>
              <w:pStyle w:val="Compact"/>
            </w:pPr>
            <w:r>
              <w:t xml:space="preserve">TELOS Semantic Governance</w:t>
            </w:r>
          </w:p>
        </w:tc>
      </w:tr>
      <w:tr>
        <w:tc>
          <w:tcPr/>
          <w:p>
            <w:pPr>
              <w:pStyle w:val="Compact"/>
            </w:pPr>
            <w:r>
              <w:rPr>
                <w:b/>
                <w:bCs/>
              </w:rPr>
              <w:t xml:space="preserve">Define</w:t>
            </w:r>
          </w:p>
        </w:tc>
        <w:tc>
          <w:tcPr/>
          <w:p>
            <w:pPr>
              <w:pStyle w:val="Compact"/>
            </w:pPr>
            <w:r>
              <w:t xml:space="preserve">Specify product requirements and quality standards</w:t>
            </w:r>
          </w:p>
        </w:tc>
        <w:tc>
          <w:tcPr/>
          <w:p>
            <w:pPr>
              <w:pStyle w:val="Compact"/>
            </w:pPr>
            <w:r>
              <w:t xml:space="preserve">User declares purpose, scope, and boundaries → Primacy Attractor established</w:t>
            </w:r>
          </w:p>
        </w:tc>
      </w:tr>
      <w:tr>
        <w:tc>
          <w:tcPr/>
          <w:p>
            <w:pPr>
              <w:pStyle w:val="Compact"/>
            </w:pPr>
            <w:r>
              <w:rPr>
                <w:b/>
                <w:bCs/>
              </w:rPr>
              <w:t xml:space="preserve">Measure</w:t>
            </w:r>
          </w:p>
        </w:tc>
        <w:tc>
          <w:tcPr/>
          <w:p>
            <w:pPr>
              <w:pStyle w:val="Compact"/>
            </w:pPr>
            <w:r>
              <w:t xml:space="preserve">Collect production metrics (dimensions, defect rates)</w:t>
            </w:r>
          </w:p>
        </w:tc>
        <w:tc>
          <w:tcPr/>
          <w:p>
            <w:pPr>
              <w:pStyle w:val="Compact"/>
            </w:pPr>
            <w:r>
              <w:t xml:space="preserve">Embed every AI response and measure against PA → Fidelity scores generated</w:t>
            </w:r>
          </w:p>
        </w:tc>
      </w:tr>
      <w:tr>
        <w:tc>
          <w:tcPr/>
          <w:p>
            <w:pPr>
              <w:pStyle w:val="Compact"/>
            </w:pPr>
            <w:r>
              <w:rPr>
                <w:b/>
                <w:bCs/>
              </w:rPr>
              <w:t xml:space="preserve">Analyze</w:t>
            </w:r>
          </w:p>
        </w:tc>
        <w:tc>
          <w:tcPr/>
          <w:p>
            <w:pPr>
              <w:pStyle w:val="Compact"/>
            </w:pPr>
            <w:r>
              <w:t xml:space="preserve">Identify process variation root causes</w:t>
            </w:r>
          </w:p>
        </w:tc>
        <w:tc>
          <w:tcPr/>
          <w:p>
            <w:pPr>
              <w:pStyle w:val="Compact"/>
            </w:pPr>
            <w:r>
              <w:t xml:space="preserve">Detect drift patterns and quantify deviation severity</w:t>
            </w:r>
          </w:p>
        </w:tc>
      </w:tr>
      <w:tr>
        <w:tc>
          <w:tcPr/>
          <w:p>
            <w:pPr>
              <w:pStyle w:val="Compact"/>
            </w:pPr>
            <w:r>
              <w:rPr>
                <w:b/>
                <w:bCs/>
              </w:rPr>
              <w:t xml:space="preserve">Improve</w:t>
            </w:r>
          </w:p>
        </w:tc>
        <w:tc>
          <w:tcPr/>
          <w:p>
            <w:pPr>
              <w:pStyle w:val="Compact"/>
            </w:pPr>
            <w:r>
              <w:t xml:space="preserve">Adjust machinery, update procedures</w:t>
            </w:r>
          </w:p>
        </w:tc>
        <w:tc>
          <w:tcPr/>
          <w:p>
            <w:pPr>
              <w:pStyle w:val="Compact"/>
            </w:pPr>
            <w:r>
              <w:t xml:space="preserve">Apply proportional intervention based on drift magnitude</w:t>
            </w:r>
          </w:p>
        </w:tc>
      </w:tr>
      <w:tr>
        <w:tc>
          <w:tcPr/>
          <w:p>
            <w:pPr>
              <w:pStyle w:val="Compact"/>
            </w:pPr>
            <w:r>
              <w:rPr>
                <w:b/>
                <w:bCs/>
              </w:rPr>
              <w:t xml:space="preserve">Control</w:t>
            </w:r>
          </w:p>
        </w:tc>
        <w:tc>
          <w:tcPr/>
          <w:p>
            <w:pPr>
              <w:pStyle w:val="Compact"/>
            </w:pPr>
            <w:r>
              <w:t xml:space="preserve">Monitor process capability, maintain control charts</w:t>
            </w:r>
          </w:p>
        </w:tc>
        <w:tc>
          <w:tcPr/>
          <w:p>
            <w:pPr>
              <w:pStyle w:val="Compact"/>
            </w:pPr>
            <w:r>
              <w:t xml:space="preserve">Track stability metrics, generate capability indices, log telemetry</w:t>
            </w:r>
          </w:p>
        </w:tc>
      </w:tr>
    </w:tbl>
    <w:p>
      <w:pPr>
        <w:pStyle w:val="BodyText"/>
      </w:pPr>
      <w:r>
        <w:t xml:space="preserve">Each conversation turn executes the DMAIC cycle: establish constitutional reference (Define), measure semantic distance (Measure), identify deviation severity (Analyze), apply proportional correction (Improve), and verify stability within tolerance limits (Control). Six Sigma shifts from methodology to mechanism, continuous improvement becomes a mathematical operation in embedding space.</w:t>
      </w:r>
    </w:p>
    <w:bookmarkEnd w:id="76"/>
    <w:bookmarkStart w:id="80" w:name="X4554c23106d00a73e760e4cbe6ecd4a94687c79"/>
    <w:p>
      <w:pPr>
        <w:pStyle w:val="Heading2"/>
      </w:pPr>
      <w:r>
        <w:t xml:space="preserve">6. Regulatory Alignment: TELOS as Quality System for AI</w:t>
      </w:r>
    </w:p>
    <w:bookmarkStart w:id="77" w:name="Xa76d977aa68994c9083a5e97d3bc51e21c78974"/>
    <w:p>
      <w:pPr>
        <w:pStyle w:val="Heading3"/>
      </w:pPr>
      <w:r>
        <w:t xml:space="preserve">6.1 EU AI Act, Article 72: Continuous Post-Market Monitoring</w:t>
      </w:r>
    </w:p>
    <w:p>
      <w:pPr>
        <w:pStyle w:val="FirstParagraph"/>
      </w:pPr>
      <w:r>
        <w:t xml:space="preserve">TELOS addresses Article 72 requirements:</w:t>
      </w:r>
    </w:p>
    <w:p>
      <w:pPr>
        <w:pStyle w:val="BodyText"/>
      </w:pPr>
      <w:r>
        <w:t xml:space="preserve">Requirement:</w:t>
      </w:r>
      <w:r>
        <w:t xml:space="preserve"> </w:t>
      </w:r>
      <w:r>
        <w:t xml:space="preserve">“Systematic and continuous plan”</w:t>
      </w:r>
      <w:r>
        <w:t xml:space="preserve"> </w:t>
      </w:r>
      <w:r>
        <w:t xml:space="preserve">TELOS: Every operation is monitored, measured, and logged.</w:t>
      </w:r>
    </w:p>
    <w:p>
      <w:pPr>
        <w:pStyle w:val="BodyText"/>
      </w:pPr>
      <w:r>
        <w:t xml:space="preserve">Requirement:</w:t>
      </w:r>
      <w:r>
        <w:t xml:space="preserve"> </w:t>
      </w:r>
      <w:r>
        <w:t xml:space="preserve">“Gather, document, analyze relevant data”</w:t>
      </w:r>
      <w:r>
        <w:t xml:space="preserve"> </w:t>
      </w:r>
      <w:r>
        <w:t xml:space="preserve">TELOS: Includes fidelity scores, drift vectors, and intervention logs.</w:t>
      </w:r>
    </w:p>
    <w:p>
      <w:pPr>
        <w:pStyle w:val="BodyText"/>
      </w:pPr>
      <w:r>
        <w:t xml:space="preserve">Requirement:</w:t>
      </w:r>
      <w:r>
        <w:t xml:space="preserve"> </w:t>
      </w:r>
      <w:r>
        <w:t xml:space="preserve">“Review experience gained from use”</w:t>
      </w:r>
      <w:r>
        <w:t xml:space="preserve"> </w:t>
      </w:r>
      <w:r>
        <w:t xml:space="preserve">TELOS: Conducts statistical analysis, capability indices, and trend detection.</w:t>
      </w:r>
    </w:p>
    <w:p>
      <w:pPr>
        <w:pStyle w:val="BodyText"/>
      </w:pPr>
      <w:r>
        <w:t xml:space="preserve">The Commission will detail technical requirements through templates and standards (timeline subject to Digital Omnibus negotiation). TELOS provides the measurement tools that any compliant system will need.</w:t>
      </w:r>
    </w:p>
    <w:bookmarkEnd w:id="77"/>
    <w:bookmarkStart w:id="78" w:name="X4c7937898a98b294bbf1f2fc6650b3c307458e1"/>
    <w:p>
      <w:pPr>
        <w:pStyle w:val="Heading3"/>
      </w:pPr>
      <w:r>
        <w:t xml:space="preserve">6.2 FDA Quality Systems Regulation (21 CFR Part 820)</w:t>
      </w:r>
    </w:p>
    <w:p>
      <w:pPr>
        <w:pStyle w:val="FirstParagraph"/>
      </w:pPr>
      <w:r>
        <w:t xml:space="preserve">For AI in medical devices, TELOS aligns with QSR:</w:t>
      </w:r>
    </w:p>
    <w:p>
      <w:pPr>
        <w:pStyle w:val="BodyText"/>
      </w:pPr>
      <w:r>
        <w:t xml:space="preserve">§820.70 Production Controls:</w:t>
      </w:r>
      <w:r>
        <w:t xml:space="preserve"> </w:t>
      </w:r>
      <w:r>
        <w:t xml:space="preserve">-</w:t>
      </w:r>
      <w:r>
        <w:t xml:space="preserve"> </w:t>
      </w:r>
      <w:r>
        <w:t xml:space="preserve">“Validated processes shall be monitored”</w:t>
      </w:r>
      <w:r>
        <w:t xml:space="preserve"> </w:t>
      </w:r>
      <w:r>
        <w:t xml:space="preserve">- TELOS: Continuous fidelity monitoring.</w:t>
      </w:r>
    </w:p>
    <w:p>
      <w:pPr>
        <w:pStyle w:val="BodyText"/>
      </w:pPr>
      <w:r>
        <w:t xml:space="preserve">§820.75 Process Validation:</w:t>
      </w:r>
      <w:r>
        <w:t xml:space="preserve"> </w:t>
      </w:r>
      <w:r>
        <w:t xml:space="preserve">-</w:t>
      </w:r>
      <w:r>
        <w:t xml:space="preserve"> </w:t>
      </w:r>
      <w:r>
        <w:t xml:space="preserve">“High degree of assurance without full verification”</w:t>
      </w:r>
      <w:r>
        <w:t xml:space="preserve"> </w:t>
      </w:r>
      <w:r>
        <w:t xml:space="preserve">- TELOS: Statistical confidence through SPC.</w:t>
      </w:r>
    </w:p>
    <w:p>
      <w:pPr>
        <w:pStyle w:val="BodyText"/>
      </w:pPr>
      <w:r>
        <w:t xml:space="preserve">§820.90 Nonconforming Product:</w:t>
      </w:r>
      <w:r>
        <w:t xml:space="preserve"> </w:t>
      </w:r>
      <w:r>
        <w:t xml:space="preserve">-</w:t>
      </w:r>
      <w:r>
        <w:t xml:space="preserve"> </w:t>
      </w:r>
      <w:r>
        <w:t xml:space="preserve">“Control to prevent unintended use”</w:t>
      </w:r>
      <w:r>
        <w:t xml:space="preserve"> </w:t>
      </w:r>
      <w:r>
        <w:t xml:space="preserve">- TELOS: Intervention blocks non-compliant outputs.</w:t>
      </w:r>
    </w:p>
    <w:bookmarkEnd w:id="78"/>
    <w:bookmarkStart w:id="79" w:name="X9bf8784ad54d636913afcc4cc6b15c9a7028b6e"/>
    <w:p>
      <w:pPr>
        <w:pStyle w:val="Heading3"/>
      </w:pPr>
      <w:r>
        <w:t xml:space="preserve">6.3 ISO 9001 / ISO 13485, Continuous Improvement and Traceability</w:t>
      </w:r>
    </w:p>
    <w:p>
      <w:pPr>
        <w:pStyle w:val="FirstParagraph"/>
      </w:pPr>
      <w:r>
        <w:t xml:space="preserve">TELOS follows ISO quality principles:</w:t>
      </w:r>
    </w:p>
    <w:p>
      <w:pPr>
        <w:pStyle w:val="BodyText"/>
      </w:pPr>
      <w:r>
        <w:t xml:space="preserve">Plan-Do-Check-Act (PDCA):</w:t>
      </w:r>
      <w:r>
        <w:t xml:space="preserve"> </w:t>
      </w:r>
      <w:r>
        <w:t xml:space="preserve">- Plan: Define governance via Primacy Attractor.</w:t>
      </w:r>
      <w:r>
        <w:t xml:space="preserve"> </w:t>
      </w:r>
      <w:r>
        <w:t xml:space="preserve">- Do: Generate responses under governance.</w:t>
      </w:r>
      <w:r>
        <w:t xml:space="preserve"> </w:t>
      </w:r>
      <w:r>
        <w:t xml:space="preserve">- Check: Measure fidelity and drift.</w:t>
      </w:r>
      <w:r>
        <w:t xml:space="preserve"> </w:t>
      </w:r>
      <w:r>
        <w:t xml:space="preserve">- Act: Apply proportional correction.</w:t>
      </w:r>
    </w:p>
    <w:p>
      <w:pPr>
        <w:pStyle w:val="BodyText"/>
      </w:pPr>
      <w:r>
        <w:t xml:space="preserve">Clause 10.2 Nonconformity and Corrective Action:</w:t>
      </w:r>
      <w:r>
        <w:t xml:space="preserve"> </w:t>
      </w:r>
      <w:r>
        <w:t xml:space="preserve">- Detect nonconformity: Fidelity below threshold.</w:t>
      </w:r>
      <w:r>
        <w:t xml:space="preserve"> </w:t>
      </w:r>
      <w:r>
        <w:t xml:space="preserve">- Correct immediately: Proportional intervention.</w:t>
      </w:r>
      <w:r>
        <w:t xml:space="preserve"> </w:t>
      </w:r>
      <w:r>
        <w:t xml:space="preserve">- Prevent recurrence: Update control parameters.</w:t>
      </w:r>
    </w:p>
    <w:bookmarkEnd w:id="79"/>
    <w:bookmarkEnd w:id="80"/>
    <w:bookmarkStart w:id="85" w:name="Xb3c81fcf020fcc59049f9f79e65811d5822ea94"/>
    <w:p>
      <w:pPr>
        <w:pStyle w:val="Heading2"/>
      </w:pPr>
      <w:r>
        <w:t xml:space="preserve">7. Current Limitations and Planned Validation</w:t>
      </w:r>
    </w:p>
    <w:bookmarkStart w:id="81" w:name="what-has-been-validated"/>
    <w:p>
      <w:pPr>
        <w:pStyle w:val="Heading3"/>
      </w:pPr>
      <w:r>
        <w:t xml:space="preserve">7.1 What Has Been Validated</w:t>
      </w:r>
    </w:p>
    <w:p>
      <w:pPr>
        <w:pStyle w:val="FirstParagraph"/>
      </w:pPr>
      <w:r>
        <w:t xml:space="preserve">Security (January 2026):</w:t>
      </w:r>
      <w:r>
        <w:t xml:space="preserve"> </w:t>
      </w:r>
      <w:r>
        <w:t xml:space="preserve">- 0% ASR across 2,550 adversarial attacks (1,200 AILuminate + 400 HarmBench + 900 MedSafetyBench + 50 SB 243)</w:t>
      </w:r>
      <w:r>
        <w:t xml:space="preserve"> </w:t>
      </w:r>
      <w:r>
        <w:t xml:space="preserve">- 0/2,550 observed (95% CI upper bound ~0.15%) vs 3.7-11.1% baseline (system prompts)</w:t>
      </w:r>
      <w:r>
        <w:t xml:space="preserve"> </w:t>
      </w:r>
      <w:r>
        <w:t xml:space="preserve">- Cross-model consistency (0/2,550 observed on both model sizes)</w:t>
      </w:r>
      <w:r>
        <w:t xml:space="preserve"> </w:t>
      </w:r>
      <w:r>
        <w:t xml:space="preserve">- Attack categories: Prompt injection, jailbreaking, role manipulation, context manipulation, privacy violations.</w:t>
      </w:r>
    </w:p>
    <w:p>
      <w:pPr>
        <w:pStyle w:val="BodyText"/>
      </w:pPr>
      <w:r>
        <w:t xml:space="preserve">Framework:</w:t>
      </w:r>
      <w:r>
        <w:t xml:space="preserve"> </w:t>
      </w:r>
      <w:r>
        <w:t xml:space="preserve">- JSONL telemetry generation verified.</w:t>
      </w:r>
      <w:r>
        <w:t xml:space="preserve"> </w:t>
      </w:r>
      <w:r>
        <w:t xml:space="preserve">- Mathematical foundation (Primacy Attractor stability theory established).</w:t>
      </w:r>
      <w:r>
        <w:t xml:space="preserve"> </w:t>
      </w:r>
      <w:r>
        <w:t xml:space="preserve">- Orchestration-layer deployment architecture proven.</w:t>
      </w:r>
    </w:p>
    <w:bookmarkEnd w:id="81"/>
    <w:bookmarkStart w:id="82" w:name="what-requires-additional-validation"/>
    <w:p>
      <w:pPr>
        <w:pStyle w:val="Heading3"/>
      </w:pPr>
      <w:r>
        <w:t xml:space="preserve">7.2 What Requires Additional Validation</w:t>
      </w:r>
    </w:p>
    <w:p>
      <w:pPr>
        <w:pStyle w:val="FirstParagraph"/>
      </w:pPr>
      <w:r>
        <w:t xml:space="preserve">Cross-Model Generalization (Planned Q1 2026):</w:t>
      </w:r>
      <w:r>
        <w:t xml:space="preserve"> </w:t>
      </w:r>
      <w:r>
        <w:t xml:space="preserve">- OpenAI GPT-4, Anthropic Claude, Meta Llama families.</w:t>
      </w:r>
      <w:r>
        <w:t xml:space="preserve"> </w:t>
      </w:r>
      <w:r>
        <w:t xml:space="preserve">- Current validation is limited to Mistral models.</w:t>
      </w:r>
      <w:r>
        <w:t xml:space="preserve"> </w:t>
      </w:r>
      <w:r>
        <w:t xml:space="preserve">- Expectation: Framework is model-agnostic by design, but empirical confirmation will strengthen credibility.</w:t>
      </w:r>
    </w:p>
    <w:p>
      <w:pPr>
        <w:pStyle w:val="BodyText"/>
      </w:pPr>
      <w:r>
        <w:t xml:space="preserve">Runtime Intervention Effectiveness (Planned Q1 2026):</w:t>
      </w:r>
      <w:r>
        <w:t xml:space="preserve"> </w:t>
      </w:r>
      <w:r>
        <w:t xml:space="preserve">- Assessing Proportional Controller correction effectiveness in live drift scenarios.</w:t>
      </w:r>
      <w:r>
        <w:t xml:space="preserve"> </w:t>
      </w:r>
      <w:r>
        <w:t xml:space="preserve">- Intervention frequency, success rates, and restoration performance will be measured.</w:t>
      </w:r>
      <w:r>
        <w:t xml:space="preserve"> </w:t>
      </w:r>
      <w:r>
        <w:t xml:space="preserve">- Current evidence suggests Proportional control theory predicts effectiveness; live testing is needed.</w:t>
      </w:r>
    </w:p>
    <w:p>
      <w:pPr>
        <w:pStyle w:val="BodyText"/>
      </w:pPr>
      <w:r>
        <w:t xml:space="preserve">Domain-Specific Performance (Planned 2026):</w:t>
      </w:r>
      <w:r>
        <w:t xml:space="preserve"> </w:t>
      </w:r>
      <w:r>
        <w:t xml:space="preserve">- Testing healthcare, legal, and financial applications under operational conditions.</w:t>
      </w:r>
      <w:r>
        <w:t xml:space="preserve"> </w:t>
      </w:r>
      <w:r>
        <w:t xml:space="preserve">- Current evidence shows that the framework is agnostic to the domain by design, but specialized validation will boost adoption.</w:t>
      </w:r>
    </w:p>
    <w:p>
      <w:pPr>
        <w:pStyle w:val="BodyText"/>
      </w:pPr>
      <w:r>
        <w:t xml:space="preserve">Scale Testing (Planned 2026):</w:t>
      </w:r>
      <w:r>
        <w:t xml:space="preserve"> </w:t>
      </w:r>
      <w:r>
        <w:t xml:space="preserve">- 1000+ conversation sessions over multiple weeks of continuous operation.</w:t>
      </w:r>
      <w:r>
        <w:t xml:space="preserve"> </w:t>
      </w:r>
      <w:r>
        <w:t xml:space="preserve">- Current evidence indicates multi-turn stability; production-scale validation is pending.</w:t>
      </w:r>
    </w:p>
    <w:bookmarkEnd w:id="82"/>
    <w:bookmarkStart w:id="83" w:name="known-constraints"/>
    <w:p>
      <w:pPr>
        <w:pStyle w:val="Heading3"/>
      </w:pPr>
      <w:r>
        <w:t xml:space="preserve">7.3 Known Constraints</w:t>
      </w:r>
    </w:p>
    <w:p>
      <w:pPr>
        <w:pStyle w:val="FirstParagraph"/>
      </w:pPr>
      <w:r>
        <w:t xml:space="preserve">Embedding Model Dependency:</w:t>
      </w:r>
      <w:r>
        <w:t xml:space="preserve"> </w:t>
      </w:r>
      <w:r>
        <w:t xml:space="preserve">- Fidelity measurement relies on the quality of the embedding model (validation used Mistral embeddings for security testing, SentenceTransformer all-MiniLM-L6-v2 for runtime fidelity).</w:t>
      </w:r>
      <w:r>
        <w:t xml:space="preserve"> </w:t>
      </w:r>
      <w:r>
        <w:t xml:space="preserve">- Better embeddings (e.g., OpenAI text-embedding-3-large) may enhance sensitivity.</w:t>
      </w:r>
      <w:r>
        <w:t xml:space="preserve"> </w:t>
      </w:r>
      <w:r>
        <w:t xml:space="preserve">- Core mathematics are independent of specific embedding choices; the framework is portable across embedding models.</w:t>
      </w:r>
    </w:p>
    <w:p>
      <w:pPr>
        <w:pStyle w:val="BodyText"/>
      </w:pPr>
      <w:r>
        <w:t xml:space="preserve">Computational Overhead:</w:t>
      </w:r>
      <w:r>
        <w:t xml:space="preserve"> </w:t>
      </w:r>
      <w:r>
        <w:t xml:space="preserve">- Each turn requires generating embeddings and calculating cosine similarity.</w:t>
      </w:r>
      <w:r>
        <w:t xml:space="preserve"> </w:t>
      </w:r>
      <w:r>
        <w:t xml:space="preserve">- Overhead amounts to about 50-100ms per turn, which is manageable for most applications.</w:t>
      </w:r>
      <w:r>
        <w:t xml:space="preserve"> </w:t>
      </w:r>
      <w:r>
        <w:t xml:space="preserve">- Real-time systems with less than 100ms latency requirements might need optimization or caching strategies.</w:t>
      </w:r>
    </w:p>
    <w:p>
      <w:pPr>
        <w:pStyle w:val="BodyText"/>
      </w:pPr>
      <w:r>
        <w:t xml:space="preserve">Governance Scope:</w:t>
      </w:r>
      <w:r>
        <w:t xml:space="preserve"> </w:t>
      </w:r>
      <w:r>
        <w:t xml:space="preserve">- TELOS governs alignment to the declared purpose, not the correctness of outputs.</w:t>
      </w:r>
      <w:r>
        <w:t xml:space="preserve"> </w:t>
      </w:r>
      <w:r>
        <w:t xml:space="preserve">- It does not replace fact-checking, toxicity filtering, or domain-specific validation.</w:t>
      </w:r>
      <w:r>
        <w:t xml:space="preserve"> </w:t>
      </w:r>
      <w:r>
        <w:t xml:space="preserve">- TELOS complements other safety measures (Constitutional AI, content moderation, etc.).</w:t>
      </w:r>
    </w:p>
    <w:p>
      <w:pPr>
        <w:pStyle w:val="BodyText"/>
      </w:pPr>
      <w:r>
        <w:t xml:space="preserve">Adversarial Evolution:</w:t>
      </w:r>
      <w:r>
        <w:t xml:space="preserve"> </w:t>
      </w:r>
      <w:r>
        <w:t xml:space="preserve">- Current validation tests known attack patterns as of January 2026.</w:t>
      </w:r>
      <w:r>
        <w:t xml:space="preserve"> </w:t>
      </w:r>
      <w:r>
        <w:t xml:space="preserve">- Attackers may devise new techniques that require updated defenses.</w:t>
      </w:r>
      <w:r>
        <w:t xml:space="preserve"> </w:t>
      </w:r>
      <w:r>
        <w:t xml:space="preserve">- Ongoing red-teaming is recommended to maintain security.</w:t>
      </w:r>
    </w:p>
    <w:bookmarkEnd w:id="83"/>
    <w:bookmarkStart w:id="84" w:name="transparency-on-validation-status"/>
    <w:p>
      <w:pPr>
        <w:pStyle w:val="Heading3"/>
      </w:pPr>
      <w:r>
        <w:t xml:space="preserve">7.4 Transparency on Validation Status</w:t>
      </w:r>
    </w:p>
    <w:p>
      <w:pPr>
        <w:pStyle w:val="FirstParagraph"/>
      </w:pPr>
      <w:r>
        <w:t xml:space="preserve">This whitepaper presents:</w:t>
      </w:r>
      <w:r>
        <w:t xml:space="preserve"> </w:t>
      </w:r>
      <w:r>
        <w:t xml:space="preserve">- Completed validation: Adversarial security (0% ASR, empirically proven)</w:t>
      </w:r>
      <w:r>
        <w:t xml:space="preserve"> </w:t>
      </w:r>
      <w:r>
        <w:t xml:space="preserve">- Theoretical frameworks: Proportional control mathematics, attractor dynamics</w:t>
      </w:r>
      <w:r>
        <w:t xml:space="preserve"> </w:t>
      </w:r>
      <w:r>
        <w:t xml:space="preserve">- Planned validation: Runtime intervention, cross-model testing</w:t>
      </w:r>
    </w:p>
    <w:p>
      <w:pPr>
        <w:pStyle w:val="BodyText"/>
      </w:pPr>
      <w:r>
        <w:t xml:space="preserve">We clearly distinguish validated claims from theoretical predictions to maintain scientific integrity. Grant reviewers and regulatory assessors should evaluate TELOS based on proven capabilities (adversarial defense) while recognizing that further validation studies will strengthen evidence.</w:t>
      </w:r>
    </w:p>
    <w:bookmarkEnd w:id="84"/>
    <w:bookmarkEnd w:id="85"/>
    <w:bookmarkStart w:id="91" w:name="X7dbedad625e45ebdf9eb4a3d197c1cf204f7c18"/>
    <w:p>
      <w:pPr>
        <w:pStyle w:val="Heading2"/>
      </w:pPr>
      <w:r>
        <w:t xml:space="preserve">8. Agentic AI Governance: Extending Constitutional Control to Action Spaces</w:t>
      </w:r>
    </w:p>
    <w:bookmarkStart w:id="86" w:name="the-agentic-ai-governance-challenge"/>
    <w:p>
      <w:pPr>
        <w:pStyle w:val="Heading3"/>
      </w:pPr>
      <w:r>
        <w:t xml:space="preserve">8.1 The Agentic AI Governance Challenge</w:t>
      </w:r>
    </w:p>
    <w:p>
      <w:pPr>
        <w:pStyle w:val="FirstParagraph"/>
      </w:pPr>
      <w:r>
        <w:t xml:space="preserve">The rise of agentic AI systems, which are autonomous agents that can execute multi-step plans, invoke tools, and take real-world actions, brings new governance requirements that go beyond simple conversation alignment. While chatbots generate text, agentic systems select and execute actions. This significantly increases the attack surface and the consequences of constitutional violations.</w:t>
      </w:r>
    </w:p>
    <w:p>
      <w:pPr>
        <w:pStyle w:val="BodyText"/>
      </w:pPr>
      <w:r>
        <w:t xml:space="preserve">The Action Space Problem:</w:t>
      </w:r>
      <w:r>
        <w:t xml:space="preserve"> </w:t>
      </w:r>
      <w:r>
        <w:t xml:space="preserve">- Chatbots: Output = text tokens → Harm = misinformation, privacy violations in conversation</w:t>
      </w:r>
      <w:r>
        <w:t xml:space="preserve"> </w:t>
      </w:r>
      <w:r>
        <w:t xml:space="preserve">- Agents: Output = tool invocations, API calls, code execution → Harm = unauthorized database access, financial transactions, system modifications</w:t>
      </w:r>
    </w:p>
    <w:p>
      <w:pPr>
        <w:pStyle w:val="BodyText"/>
      </w:pPr>
      <w:r>
        <w:t xml:space="preserve">Current approaches to agent safety rely on:</w:t>
      </w:r>
      <w:r>
        <w:t xml:space="preserve"> </w:t>
      </w:r>
      <w:r>
        <w:t xml:space="preserve">1. Prompt-based constraints: These can be easily bypassed through jailbreaking, as shown in our adversarial testing.</w:t>
      </w:r>
      <w:r>
        <w:t xml:space="preserve"> </w:t>
      </w:r>
      <w:r>
        <w:t xml:space="preserve">2. Tool-level permissions: These are binary allow/deny options that lack context-sensitivity.</w:t>
      </w:r>
      <w:r>
        <w:t xml:space="preserve"> </w:t>
      </w:r>
      <w:r>
        <w:t xml:space="preserve">3. Human-in-the-loop: This approach does not scale to autonomous operation.</w:t>
      </w:r>
    </w:p>
    <w:p>
      <w:pPr>
        <w:pStyle w:val="BodyText"/>
      </w:pPr>
      <w:r>
        <w:t xml:space="preserve">TELOS’s mathematical governance framework extends naturally to action spaces because the core insight, measuring semantic alignment to declared purpose, applies whether the output is a text response or a tool selection.</w:t>
      </w:r>
    </w:p>
    <w:bookmarkEnd w:id="86"/>
    <w:bookmarkStart w:id="87" w:name="action-space-governance-architecture"/>
    <w:p>
      <w:pPr>
        <w:pStyle w:val="Heading3"/>
      </w:pPr>
      <w:r>
        <w:t xml:space="preserve">8.2 Action Space Governance Architecture</w:t>
      </w:r>
    </w:p>
    <w:p>
      <w:pPr>
        <w:pStyle w:val="FirstParagraph"/>
      </w:pPr>
      <w:r>
        <w:t xml:space="preserve">Extending Primacy Attractors to Actions: Just like queries are embedded and measured against the Primacy Attractor, agentic systems can embed proposed actions and measure alignment before execution:</w:t>
      </w:r>
    </w:p>
    <w:p>
      <w:pPr>
        <w:pStyle w:val="BodyText"/>
      </w:pPr>
      <w:r>
        <w:t xml:space="preserve">Traditional Agent: User Request → Plan → [Tool A, Tool B, Tool C] → Execute</w:t>
      </w:r>
      <w:r>
        <w:t xml:space="preserve"> </w:t>
      </w:r>
      <w:r>
        <w:t xml:space="preserve">TELOS-Governed Agent: User Request → Plan → [Fidelity Check] → Execute/Block</w:t>
      </w:r>
    </w:p>
    <w:p>
      <w:pPr>
        <w:pStyle w:val="BodyText"/>
      </w:pPr>
      <w:r>
        <w:t xml:space="preserve">The Action PA (APA):</w:t>
      </w:r>
    </w:p>
    <w:p>
      <w:pPr>
        <w:pStyle w:val="BodyText"/>
      </w:pPr>
      <m:oMathPara>
        <m:oMathParaPr>
          <m:jc m:val="center"/>
        </m:oMathParaPr>
        <m:oMath>
          <m:sSub>
            <m:e>
              <m:acc>
                <m:accPr>
                  <m:chr m:val="̂"/>
                </m:accPr>
                <m:e>
                  <m:r>
                    <m:t>a</m:t>
                  </m:r>
                </m:e>
              </m:acc>
            </m:e>
            <m:sub>
              <m:r>
                <m:rPr>
                  <m:nor/>
                  <m:sty m:val="p"/>
                </m:rPr>
                <m:t>action</m:t>
              </m:r>
            </m:sub>
          </m:sSub>
          <m:r>
            <m:rPr>
              <m:sty m:val="p"/>
            </m:rPr>
            <m:t>=</m:t>
          </m:r>
          <m:f>
            <m:fPr>
              <m:type m:val="bar"/>
            </m:fPr>
            <m:num>
              <m:r>
                <m:t>τ</m:t>
              </m:r>
              <m:r>
                <m:rPr>
                  <m:sty m:val="p"/>
                </m:rPr>
                <m:t>⋅</m:t>
              </m:r>
              <m:r>
                <m:rPr>
                  <m:nor/>
                  <m:sty m:val="p"/>
                </m:rPr>
                <m:t>permitted_actions</m:t>
              </m:r>
              <m:r>
                <m:rPr>
                  <m:sty m:val="p"/>
                </m:rPr>
                <m:t>+</m:t>
              </m:r>
              <m:r>
                <m:rPr>
                  <m:sty m:val="p"/>
                </m:rPr>
                <m:t>(</m:t>
              </m:r>
              <m:r>
                <m:t>1</m:t>
              </m:r>
              <m:r>
                <m:rPr>
                  <m:sty m:val="p"/>
                </m:rPr>
                <m:t>−</m:t>
              </m:r>
              <m:r>
                <m:t>τ</m:t>
              </m:r>
              <m:r>
                <m:rPr>
                  <m:sty m:val="p"/>
                </m:rPr>
                <m:t>)</m:t>
              </m:r>
              <m:r>
                <m:rPr>
                  <m:sty m:val="p"/>
                </m:rPr>
                <m:t>⋅</m:t>
              </m:r>
              <m:r>
                <m:rPr>
                  <m:nor/>
                  <m:sty m:val="p"/>
                </m:rPr>
                <m:t>prohibited_actions</m:t>
              </m:r>
            </m:num>
            <m:den>
              <m:r>
                <m:rPr>
                  <m:sty m:val="p"/>
                </m:rPr>
                <m:t>∥</m:t>
              </m:r>
              <m:r>
                <m:rPr>
                  <m:sty m:val="p"/>
                </m:rPr>
                <m:t>…</m:t>
              </m:r>
              <m:r>
                <m:rPr>
                  <m:sty m:val="p"/>
                </m:rPr>
                <m:t>∥</m:t>
              </m:r>
            </m:den>
          </m:f>
        </m:oMath>
      </m:oMathPara>
    </w:p>
    <w:p>
      <w:pPr>
        <w:pStyle w:val="FirstParagraph"/>
      </w:pPr>
      <w:r>
        <w:t xml:space="preserve">Where:</w:t>
      </w:r>
      <w:r>
        <w:t xml:space="preserve"> </w:t>
      </w:r>
      <w:r>
        <w:t xml:space="preserve">-</w:t>
      </w:r>
      <w:r>
        <w:t xml:space="preserve"> </w:t>
      </w:r>
      <m:oMath>
        <m:r>
          <m:rPr>
            <m:nor/>
            <m:sty m:val="p"/>
          </m:rPr>
          <m:t>permitted_actions</m:t>
        </m:r>
      </m:oMath>
      <w:r>
        <w:t xml:space="preserve"> </w:t>
      </w:r>
      <w:r>
        <w:t xml:space="preserve">= embedded representations of authorized tool categories</w:t>
      </w:r>
      <w:r>
        <w:t xml:space="preserve"> </w:t>
      </w:r>
      <w:r>
        <w:t xml:space="preserve">-</w:t>
      </w:r>
      <w:r>
        <w:t xml:space="preserve"> </w:t>
      </w:r>
      <m:oMath>
        <m:r>
          <m:rPr>
            <m:nor/>
            <m:sty m:val="p"/>
          </m:rPr>
          <m:t>prohibited_actions</m:t>
        </m:r>
      </m:oMath>
      <w:r>
        <w:t xml:space="preserve"> </w:t>
      </w:r>
      <w:r>
        <w:t xml:space="preserve">= embedded representations of constitutional boundaries (e.g.,</w:t>
      </w:r>
      <w:r>
        <w:t xml:space="preserve"> </w:t>
      </w:r>
      <w:r>
        <w:t xml:space="preserve">“no financial transactions”</w:t>
      </w:r>
      <w:r>
        <w:t xml:space="preserve">,</w:t>
      </w:r>
      <w:r>
        <w:t xml:space="preserve"> </w:t>
      </w:r>
      <w:r>
        <w:t xml:space="preserve">“no file deletions”</w:t>
      </w:r>
      <w:r>
        <w:t xml:space="preserve">)</w:t>
      </w:r>
      <w:r>
        <w:t xml:space="preserve"> </w:t>
      </w:r>
      <w:r>
        <w:t xml:space="preserve">-</w:t>
      </w:r>
      <w:r>
        <w:t xml:space="preserve"> </w:t>
      </w:r>
      <m:oMath>
        <m:r>
          <m:t>τ</m:t>
        </m:r>
      </m:oMath>
      <w:r>
        <w:t xml:space="preserve"> </w:t>
      </w:r>
      <w:r>
        <w:t xml:space="preserve">= action tolerance parameter</w:t>
      </w:r>
    </w:p>
    <w:p>
      <w:pPr>
        <w:pStyle w:val="BodyText"/>
      </w:pPr>
      <w:r>
        <w:t xml:space="preserve">Action Fidelity Measurement:</w:t>
      </w:r>
    </w:p>
    <w:p>
      <w:pPr>
        <w:pStyle w:val="BodyText"/>
      </w:pPr>
      <m:oMathPara>
        <m:oMathParaPr>
          <m:jc m:val="center"/>
        </m:oMathParaPr>
        <m:oMath>
          <m:sSub>
            <m:e>
              <m:r>
                <m:t>F</m:t>
              </m:r>
            </m:e>
            <m:sub>
              <m:r>
                <m:rPr>
                  <m:nor/>
                  <m:sty m:val="p"/>
                </m:rPr>
                <m:t>action</m:t>
              </m:r>
            </m:sub>
          </m:sSub>
          <m:r>
            <m:rPr>
              <m:sty m:val="p"/>
            </m:rPr>
            <m:t>=</m:t>
          </m:r>
          <m:r>
            <m:rPr>
              <m:sty m:val="p"/>
            </m:rPr>
            <m:t>cos</m:t>
          </m:r>
          <m:r>
            <m:rPr>
              <m:sty m:val="p"/>
            </m:rPr>
            <m:t>(</m:t>
          </m:r>
          <m:r>
            <m:rPr>
              <m:nor/>
              <m:sty m:val="p"/>
            </m:rPr>
            <m:t>embed</m:t>
          </m:r>
          <m:r>
            <m:rPr>
              <m:sty m:val="p"/>
            </m:rPr>
            <m:t>(</m:t>
          </m:r>
          <m:r>
            <m:rPr>
              <m:nor/>
              <m:sty m:val="p"/>
            </m:rPr>
            <m:t>proposed_action</m:t>
          </m:r>
          <m:r>
            <m:rPr>
              <m:sty m:val="p"/>
            </m:rPr>
            <m:t>)</m:t>
          </m:r>
          <m:r>
            <m:rPr>
              <m:sty m:val="p"/>
            </m:rPr>
            <m:t>,</m:t>
          </m:r>
          <m:sSub>
            <m:e>
              <m:acc>
                <m:accPr>
                  <m:chr m:val="̂"/>
                </m:accPr>
                <m:e>
                  <m:r>
                    <m:t>a</m:t>
                  </m:r>
                </m:e>
              </m:acc>
            </m:e>
            <m:sub>
              <m:r>
                <m:rPr>
                  <m:nor/>
                  <m:sty m:val="p"/>
                </m:rPr>
                <m:t>action</m:t>
              </m:r>
            </m:sub>
          </m:sSub>
          <m:r>
            <m:rPr>
              <m:sty m:val="p"/>
            </m:rPr>
            <m:t>)</m:t>
          </m:r>
        </m:oMath>
      </m:oMathPara>
    </w:p>
    <w:p>
      <w:pPr>
        <w:pStyle w:val="FirstParagraph"/>
      </w:pPr>
      <w:r>
        <w:t xml:space="preserve">When</w:t>
      </w:r>
      <w:r>
        <w:t xml:space="preserve"> </w:t>
      </w:r>
      <m:oMath>
        <m:sSub>
          <m:e>
            <m:r>
              <m:t>F</m:t>
            </m:r>
          </m:e>
          <m:sub>
            <m:r>
              <m:rPr>
                <m:nor/>
                <m:sty m:val="p"/>
              </m:rPr>
              <m:t>action</m:t>
            </m:r>
          </m:sub>
        </m:sSub>
        <m:r>
          <m:rPr>
            <m:sty m:val="p"/>
          </m:rPr>
          <m:t>&lt;</m:t>
        </m:r>
        <m:sSub>
          <m:e>
            <m:r>
              <m:t>θ</m:t>
            </m:r>
          </m:e>
          <m:sub>
            <m:r>
              <m:rPr>
                <m:nor/>
                <m:sty m:val="p"/>
              </m:rPr>
              <m:t>action</m:t>
            </m:r>
          </m:sub>
        </m:sSub>
      </m:oMath>
      <w:r>
        <w:t xml:space="preserve">, the action is blocked before execution, not after damage occurs.</w:t>
      </w:r>
    </w:p>
    <w:bookmarkEnd w:id="87"/>
    <w:bookmarkStart w:id="88" w:name="tool-selection-governance"/>
    <w:p>
      <w:pPr>
        <w:pStyle w:val="Heading3"/>
      </w:pPr>
      <w:r>
        <w:t xml:space="preserve">8.3 Tool Selection Governance</w:t>
      </w:r>
    </w:p>
    <w:p>
      <w:pPr>
        <w:pStyle w:val="FirstParagraph"/>
      </w:pPr>
      <w:r>
        <w:t xml:space="preserve">Agentic systems choose from a tool palette, which are functions they can invoke to accomplish tasks. TELOS governance can mathematically limit tool selection:</w:t>
      </w:r>
    </w:p>
    <w:p>
      <w:pPr>
        <w:pStyle w:val="BodyText"/>
      </w:pPr>
      <w:r>
        <w:t xml:space="preserve">Tool Palette Filtering:</w:t>
      </w:r>
    </w:p>
    <w:p>
      <w:pPr>
        <w:pStyle w:val="BodyText"/>
      </w:pPr>
      <w:r>
        <w:t xml:space="preserve">Available_Tools_Base = [web_search, file_read, database_query, email_send, …]</w:t>
      </w:r>
      <w:r>
        <w:t xml:space="preserve"> </w:t>
      </w:r>
      <w:r>
        <w:t xml:space="preserve">Constitutionally_Permitted = {tool : F(tool, PA) &gt;= θ}</w:t>
      </w:r>
    </w:p>
    <w:p>
      <w:pPr>
        <w:pStyle w:val="BodyText"/>
      </w:pPr>
      <w:r>
        <w:t xml:space="preserve">Each tool invocation can be measured for fidelity to the agent’s declared purpose before execution. A healthcare agent with the purpose</w:t>
      </w:r>
      <w:r>
        <w:t xml:space="preserve"> </w:t>
      </w:r>
      <w:r>
        <w:t xml:space="preserve">“Answer clinical questions using approved resources”</w:t>
      </w:r>
      <w:r>
        <w:t xml:space="preserve"> </w:t>
      </w:r>
      <w:r>
        <w:t xml:space="preserve">would have high fidelity for database_query(medical_literature) but low fidelity for email_send(patient_list).</w:t>
      </w:r>
    </w:p>
    <w:p>
      <w:pPr>
        <w:pStyle w:val="BodyText"/>
      </w:pPr>
      <w:r>
        <w:t xml:space="preserve">Multi-Step Plan Governance: Agentic systems often create multi-step plans. TELOS can govern the entire plan:</w:t>
      </w:r>
    </w:p>
    <w:p>
      <w:pPr>
        <w:pStyle w:val="BodyText"/>
      </w:pPr>
      <w:r>
        <w:t xml:space="preserve">Plan = [action_1, action_2, …, action_n]</w:t>
      </w:r>
      <w:r>
        <w:t xml:space="preserve"> </w:t>
      </w:r>
      <w:r>
        <w:t xml:space="preserve">Plan_Fidelity = harmonic_mean(F(action_1), F(action_2), …, F(action_n))</w:t>
      </w:r>
    </w:p>
    <w:p>
      <w:pPr>
        <w:pStyle w:val="BodyText"/>
      </w:pPr>
      <w:r>
        <w:t xml:space="preserve">A plan with even one low-fidelity action gets a proportionally lower overall fidelity, leading to intervention before any action executes.</w:t>
      </w:r>
    </w:p>
    <w:bookmarkEnd w:id="88"/>
    <w:bookmarkStart w:id="89" w:name="X915d295c8e53351edd77a76a9ce508164d2b87a"/>
    <w:p>
      <w:pPr>
        <w:pStyle w:val="Heading3"/>
      </w:pPr>
      <w:r>
        <w:t xml:space="preserve">8.4 Constitutional Boundaries for Autonomous Systems</w:t>
      </w:r>
    </w:p>
    <w:p>
      <w:pPr>
        <w:pStyle w:val="FirstParagraph"/>
      </w:pPr>
      <w:r>
        <w:t xml:space="preserve">The Three-Tier Defense for Agents:</w:t>
      </w:r>
    </w:p>
    <w:tbl>
      <w:tblPr>
        <w:tblStyle w:val="Table"/>
        <w:tblW w:type="pct" w:w="5000"/>
        <w:tblLayout w:type="fixed"/>
        <w:tblLook w:firstRow="1" w:lastRow="0" w:firstColumn="0" w:lastColumn="0" w:noHBand="0" w:noVBand="0" w:val="0020"/>
      </w:tblPr>
      <w:tblGrid>
        <w:gridCol w:w="1105"/>
        <w:gridCol w:w="3499"/>
        <w:gridCol w:w="3315"/>
      </w:tblGrid>
      <w:tr>
        <w:trPr>
          <w:tblHeader w:val="on"/>
        </w:trPr>
        <w:tc>
          <w:tcPr/>
          <w:p>
            <w:pPr>
              <w:pStyle w:val="Compact"/>
            </w:pPr>
            <w:r>
              <w:t xml:space="preserve">Tier</w:t>
            </w:r>
          </w:p>
        </w:tc>
        <w:tc>
          <w:tcPr/>
          <w:p>
            <w:pPr>
              <w:pStyle w:val="Compact"/>
            </w:pPr>
            <w:r>
              <w:t xml:space="preserve">Chatbot Governance</w:t>
            </w:r>
          </w:p>
        </w:tc>
        <w:tc>
          <w:tcPr/>
          <w:p>
            <w:pPr>
              <w:pStyle w:val="Compact"/>
            </w:pPr>
            <w:r>
              <w:t xml:space="preserve">Agent Governance</w:t>
            </w:r>
          </w:p>
        </w:tc>
      </w:tr>
      <w:tr>
        <w:tc>
          <w:tcPr/>
          <w:p>
            <w:pPr>
              <w:pStyle w:val="Compact"/>
            </w:pPr>
            <w:r>
              <w:t xml:space="preserve">1 (PA)</w:t>
            </w:r>
          </w:p>
        </w:tc>
        <w:tc>
          <w:tcPr/>
          <w:p>
            <w:pPr>
              <w:pStyle w:val="Compact"/>
            </w:pPr>
            <w:r>
              <w:t xml:space="preserve">Block harmful text generation</w:t>
            </w:r>
          </w:p>
        </w:tc>
        <w:tc>
          <w:tcPr/>
          <w:p>
            <w:pPr>
              <w:pStyle w:val="Compact"/>
            </w:pPr>
            <w:r>
              <w:t xml:space="preserve">Block unauthorized tool invocations</w:t>
            </w:r>
          </w:p>
        </w:tc>
      </w:tr>
      <w:tr>
        <w:tc>
          <w:tcPr/>
          <w:p>
            <w:pPr>
              <w:pStyle w:val="Compact"/>
            </w:pPr>
            <w:r>
              <w:t xml:space="preserve">2 (RAG)</w:t>
            </w:r>
          </w:p>
        </w:tc>
        <w:tc>
          <w:tcPr/>
          <w:p>
            <w:pPr>
              <w:pStyle w:val="Compact"/>
            </w:pPr>
            <w:r>
              <w:t xml:space="preserve">Retrieve regulatory guidance</w:t>
            </w:r>
          </w:p>
        </w:tc>
        <w:tc>
          <w:tcPr/>
          <w:p>
            <w:pPr>
              <w:pStyle w:val="Compact"/>
            </w:pPr>
            <w:r>
              <w:t xml:space="preserve">Retrieve permitted action policies</w:t>
            </w:r>
          </w:p>
        </w:tc>
      </w:tr>
      <w:tr>
        <w:tc>
          <w:tcPr/>
          <w:p>
            <w:pPr>
              <w:pStyle w:val="Compact"/>
            </w:pPr>
            <w:r>
              <w:t xml:space="preserve">3 (Human)</w:t>
            </w:r>
          </w:p>
        </w:tc>
        <w:tc>
          <w:tcPr/>
          <w:p>
            <w:pPr>
              <w:pStyle w:val="Compact"/>
            </w:pPr>
            <w:r>
              <w:t xml:space="preserve">Expert review of edge cases</w:t>
            </w:r>
          </w:p>
        </w:tc>
        <w:tc>
          <w:tcPr/>
          <w:p>
            <w:pPr>
              <w:pStyle w:val="Compact"/>
            </w:pPr>
            <w:r>
              <w:t xml:space="preserve">Human approval for high-stakes actions</w:t>
            </w:r>
          </w:p>
        </w:tc>
      </w:tr>
    </w:tbl>
    <w:p>
      <w:pPr>
        <w:pStyle w:val="BodyText"/>
      </w:pPr>
      <w:r>
        <w:t xml:space="preserve">Example: Healthcare Agentic System</w:t>
      </w:r>
      <w:r>
        <w:t xml:space="preserve"> </w:t>
      </w:r>
      <w:r>
        <w:t xml:space="preserve">Purpose:</w:t>
      </w:r>
      <w:r>
        <w:t xml:space="preserve"> </w:t>
      </w:r>
      <w:r>
        <w:t xml:space="preserve">“Retrieve and summarize patient education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Proposed Action</w:t>
            </w:r>
          </w:p>
        </w:tc>
        <w:tc>
          <w:tcPr/>
          <w:p>
            <w:pPr>
              <w:pStyle w:val="Compact"/>
            </w:pPr>
            <w:r>
              <w:t xml:space="preserve">Fidelity</w:t>
            </w:r>
          </w:p>
        </w:tc>
        <w:tc>
          <w:tcPr/>
          <w:p>
            <w:pPr>
              <w:pStyle w:val="Compact"/>
            </w:pPr>
            <w:r>
              <w:t xml:space="preserve">Decision</w:t>
            </w:r>
          </w:p>
        </w:tc>
      </w:tr>
      <w:tr>
        <w:tc>
          <w:tcPr/>
          <w:p>
            <w:pPr>
              <w:pStyle w:val="Compact"/>
            </w:pPr>
            <w:r>
              <w:t xml:space="preserve">search_pubmed(</w:t>
            </w:r>
            <w:r>
              <w:t xml:space="preserve">“diabetes management”</w:t>
            </w:r>
            <w:r>
              <w:t xml:space="preserve">)</w:t>
            </w:r>
          </w:p>
        </w:tc>
        <w:tc>
          <w:tcPr/>
          <w:p>
            <w:pPr>
              <w:pStyle w:val="Compact"/>
            </w:pPr>
            <w:r>
              <w:t xml:space="preserve">0.82</w:t>
            </w:r>
          </w:p>
        </w:tc>
        <w:tc>
          <w:tcPr/>
          <w:p>
            <w:pPr>
              <w:pStyle w:val="Compact"/>
            </w:pPr>
            <w:r>
              <w:t xml:space="preserve">ALLOW</w:t>
            </w:r>
          </w:p>
        </w:tc>
      </w:tr>
      <w:tr>
        <w:tc>
          <w:tcPr/>
          <w:p>
            <w:pPr>
              <w:pStyle w:val="Compact"/>
            </w:pPr>
            <w:r>
              <w:t xml:space="preserve">query_ehr(patient_id=</w:t>
            </w:r>
            <w:r>
              <w:t xml:space="preserve">“12345”</w:t>
            </w:r>
            <w:r>
              <w:t xml:space="preserve">)</w:t>
            </w:r>
          </w:p>
        </w:tc>
        <w:tc>
          <w:tcPr/>
          <w:p>
            <w:pPr>
              <w:pStyle w:val="Compact"/>
            </w:pPr>
            <w:r>
              <w:t xml:space="preserve">0.31</w:t>
            </w:r>
          </w:p>
        </w:tc>
        <w:tc>
          <w:tcPr/>
          <w:p>
            <w:pPr>
              <w:pStyle w:val="Compact"/>
            </w:pPr>
            <w:r>
              <w:t xml:space="preserve">BLOCK (PA Tier 1)</w:t>
            </w:r>
          </w:p>
        </w:tc>
      </w:tr>
      <w:tr>
        <w:tc>
          <w:tcPr/>
          <w:p>
            <w:pPr>
              <w:pStyle w:val="Compact"/>
            </w:pPr>
            <w:r>
              <w:t xml:space="preserve">email_send(to=</w:t>
            </w:r>
            <w:r>
              <w:t xml:space="preserve">“patient@email.com”</w:t>
            </w:r>
            <w:r>
              <w:t xml:space="preserve">)</w:t>
            </w:r>
          </w:p>
        </w:tc>
        <w:tc>
          <w:tcPr/>
          <w:p>
            <w:pPr>
              <w:pStyle w:val="Compact"/>
            </w:pPr>
            <w:r>
              <w:t xml:space="preserve">0.45</w:t>
            </w:r>
          </w:p>
        </w:tc>
        <w:tc>
          <w:tcPr/>
          <w:p>
            <w:pPr>
              <w:pStyle w:val="Compact"/>
            </w:pPr>
            <w:r>
              <w:t xml:space="preserve">ESCALATE (RAG Tier 2)</w:t>
            </w:r>
          </w:p>
        </w:tc>
      </w:tr>
    </w:tbl>
    <w:bookmarkEnd w:id="89"/>
    <w:bookmarkStart w:id="90" w:name="agentic-validation-roadmap"/>
    <w:p>
      <w:pPr>
        <w:pStyle w:val="Heading3"/>
      </w:pPr>
      <w:r>
        <w:t xml:space="preserve">8.5 Agentic Validation Roadmap</w:t>
      </w:r>
    </w:p>
    <w:p>
      <w:pPr>
        <w:pStyle w:val="FirstParagraph"/>
      </w:pPr>
      <w:r>
        <w:t xml:space="preserve">Current Status:</w:t>
      </w:r>
      <w:r>
        <w:t xml:space="preserve"> </w:t>
      </w:r>
      <w:r>
        <w:t xml:space="preserve">- TELOS governance framework proven effective for text generation (0% ASR)</w:t>
      </w:r>
      <w:r>
        <w:t xml:space="preserve"> </w:t>
      </w:r>
      <w:r>
        <w:t xml:space="preserve">- Action-space extension: theoretical framework complete</w:t>
      </w:r>
      <w:r>
        <w:t xml:space="preserve"> </w:t>
      </w:r>
      <w:r>
        <w:t xml:space="preserve">- Tool selection governance: implementation pending</w:t>
      </w:r>
    </w:p>
    <w:p>
      <w:pPr>
        <w:pStyle w:val="BodyText"/>
      </w:pPr>
      <w:r>
        <w:t xml:space="preserve">Planned Validation (2026):</w:t>
      </w:r>
      <w:r>
        <w:t xml:space="preserve"> </w:t>
      </w:r>
      <w:r>
        <w:t xml:space="preserve">1. Synthetic Agent Benchmark: Test PA-governed tool selection against adversarial action requests.</w:t>
      </w:r>
      <w:r>
        <w:t xml:space="preserve"> </w:t>
      </w:r>
      <w:r>
        <w:t xml:space="preserve">2. Multi-Step Plan Testing: Validate plan-level fidelity measurement.</w:t>
      </w:r>
      <w:r>
        <w:t xml:space="preserve"> </w:t>
      </w:r>
      <w:r>
        <w:t xml:space="preserve">3. Real-World Agent Deployment: Partner with enterprise automation platforms.</w:t>
      </w:r>
    </w:p>
    <w:p>
      <w:pPr>
        <w:pStyle w:val="BodyText"/>
      </w:pPr>
      <w:r>
        <w:t xml:space="preserve">The same mathematical foundation that achieves 0% ASR for text generation can enforce constitutional boundaries on agent actions, preventing unauthorized operations before they execute.</w:t>
      </w:r>
    </w:p>
    <w:bookmarkEnd w:id="90"/>
    <w:bookmarkEnd w:id="91"/>
    <w:bookmarkStart w:id="97" w:name="X1f79dc48cba70da3b9698f96011217b5370f2b3"/>
    <w:p>
      <w:pPr>
        <w:pStyle w:val="Heading2"/>
      </w:pPr>
      <w:r>
        <w:t xml:space="preserve">9. Conclusion: Constitutional Security Architecture for AI Systems</w:t>
      </w:r>
    </w:p>
    <w:p>
      <w:pPr>
        <w:pStyle w:val="FirstParagraph"/>
      </w:pPr>
      <w:r>
        <w:t xml:space="preserve">Adversarial validation establishes TELOS as validated security infrastructure for AI governance. Testing across 2,550 adversarial attacks (1,200 AILuminate + 400 HarmBench + 900 MedSafetyBench + 50 SB 243-aligned) shows 0 observed successful attacks (95% CI upper bound ~0.15% under black-box threat model), compared to 3.7-11.1% ASR with system prompts and 30.8-43.9% ASR for raw models.</w:t>
      </w:r>
    </w:p>
    <w:bookmarkStart w:id="92" w:name="what-we-have-validated"/>
    <w:p>
      <w:pPr>
        <w:pStyle w:val="Heading3"/>
      </w:pPr>
      <w:r>
        <w:t xml:space="preserve">What We Have Validated</w:t>
      </w:r>
    </w:p>
    <w:p>
      <w:pPr>
        <w:pStyle w:val="FirstParagraph"/>
      </w:pPr>
      <w:r>
        <w:t xml:space="preserve">Adversarial Security (January 2026):</w:t>
      </w:r>
      <w:r>
        <w:t xml:space="preserve"> </w:t>
      </w:r>
      <w:r>
        <w:t xml:space="preserve">- 0% ASR across 2,550 attacks targeting 5 attack categories</w:t>
      </w:r>
      <w:r>
        <w:t xml:space="preserve"> </w:t>
      </w:r>
      <w:r>
        <w:t xml:space="preserve">- 100% VDR (2,550/2,550 violations blocked) across two model sizes</w:t>
      </w:r>
      <w:r>
        <w:t xml:space="preserve"> </w:t>
      </w:r>
      <w:r>
        <w:t xml:space="preserve">- 0/2,550 observed vs best baseline (Mistral Large + System Prompt: 3.7% ASR)</w:t>
      </w:r>
      <w:r>
        <w:t xml:space="preserve"> </w:t>
      </w:r>
      <w:r>
        <w:t xml:space="preserve">- Cross-model consistency: 0/2,550 observed across both Mistral Small and Large</w:t>
      </w:r>
      <w:r>
        <w:t xml:space="preserve"> </w:t>
      </w:r>
      <w:r>
        <w:t xml:space="preserve">- Architectural governance validated: Orchestration-layer defense superior to prompt engineering</w:t>
      </w:r>
    </w:p>
    <w:p>
      <w:pPr>
        <w:pStyle w:val="BodyText"/>
      </w:pPr>
      <w:r>
        <w:t xml:space="preserve">Mathematical Infrastructure:</w:t>
      </w:r>
      <w:r>
        <w:t xml:space="preserve"> </w:t>
      </w:r>
      <w:r>
        <w:t xml:space="preserve">- Governance expressed through control equations (proportional control, attractor dynamics)</w:t>
      </w:r>
      <w:r>
        <w:t xml:space="preserve"> </w:t>
      </w:r>
      <w:r>
        <w:t xml:space="preserve">- Primacy Attractor as instantiated constitutional law in embedding space</w:t>
      </w:r>
      <w:r>
        <w:t xml:space="preserve"> </w:t>
      </w:r>
      <w:r>
        <w:t xml:space="preserve">- Quantitative fidelity measurement (cosine similarity against fixed constitutional reference)</w:t>
      </w:r>
      <w:r>
        <w:t xml:space="preserve"> </w:t>
      </w:r>
      <w:r>
        <w:t xml:space="preserve">- Comprehensive JSONL telemetry for regulatory audit trails</w:t>
      </w:r>
    </w:p>
    <w:p>
      <w:pPr>
        <w:pStyle w:val="BodyText"/>
      </w:pPr>
      <w:r>
        <w:t xml:space="preserve">Regulatory Alignment:</w:t>
      </w:r>
      <w:r>
        <w:t xml:space="preserve"> </w:t>
      </w:r>
      <w:r>
        <w:t xml:space="preserve">- EU AI Act Article 72 (post-market monitoring with continuous measurement)</w:t>
      </w:r>
      <w:r>
        <w:t xml:space="preserve"> </w:t>
      </w:r>
      <w:r>
        <w:t xml:space="preserve">- California SB 53 (safety framework publication with quantitative evidence)</w:t>
      </w:r>
      <w:r>
        <w:t xml:space="preserve"> </w:t>
      </w:r>
      <w:r>
        <w:t xml:space="preserve">- Quality Systems Regulation (21 CFR Part 820, ISO 9001/13485)</w:t>
      </w:r>
    </w:p>
    <w:bookmarkEnd w:id="92"/>
    <w:bookmarkStart w:id="93" w:name="what-remains-to-validate"/>
    <w:p>
      <w:pPr>
        <w:pStyle w:val="Heading3"/>
      </w:pPr>
      <w:r>
        <w:t xml:space="preserve">What Remains to Validate</w:t>
      </w:r>
    </w:p>
    <w:p>
      <w:pPr>
        <w:pStyle w:val="FirstParagraph"/>
      </w:pPr>
      <w:r>
        <w:t xml:space="preserve">Runtime Intervention (Planned Q1 2026):</w:t>
      </w:r>
      <w:r>
        <w:t xml:space="preserve"> </w:t>
      </w:r>
      <w:r>
        <w:t xml:space="preserve">- Proportional Controller correction effectiveness in live drift scenarios</w:t>
      </w:r>
      <w:r>
        <w:t xml:space="preserve"> </w:t>
      </w:r>
      <w:r>
        <w:t xml:space="preserve">- Intervention frequency and success rates</w:t>
      </w:r>
      <w:r>
        <w:t xml:space="preserve"> </w:t>
      </w:r>
      <w:r>
        <w:t xml:space="preserve">- Real-time restoration performance</w:t>
      </w:r>
    </w:p>
    <w:p>
      <w:pPr>
        <w:pStyle w:val="BodyText"/>
      </w:pPr>
      <w:r>
        <w:t xml:space="preserve">Regulatory Acceptance:</w:t>
      </w:r>
      <w:r>
        <w:t xml:space="preserve"> </w:t>
      </w:r>
      <w:r>
        <w:t xml:space="preserve">- Auditor assessment of telemetry sufficiency</w:t>
      </w:r>
      <w:r>
        <w:t xml:space="preserve"> </w:t>
      </w:r>
      <w:r>
        <w:t xml:space="preserve">- Formal compliance package submission</w:t>
      </w:r>
      <w:r>
        <w:t xml:space="preserve"> </w:t>
      </w:r>
      <w:r>
        <w:t xml:space="preserve">- Cross-jurisdiction validation (EU and California)</w:t>
      </w:r>
    </w:p>
    <w:bookmarkEnd w:id="93"/>
    <w:bookmarkStart w:id="94" w:name="the-immediate-regulatory-timeline"/>
    <w:p>
      <w:pPr>
        <w:pStyle w:val="Heading3"/>
      </w:pPr>
      <w:r>
        <w:t xml:space="preserve">The Immediate Regulatory Timeline</w:t>
      </w:r>
    </w:p>
    <w:p>
      <w:pPr>
        <w:pStyle w:val="FirstParagraph"/>
      </w:pPr>
      <w:r>
        <w:t xml:space="preserve">California SB 53 takes effect January 1, 2026 (weeks away). Covered entities with over $500M in revenue and over</w:t>
      </w:r>
      <w:r>
        <w:t xml:space="preserve"> </w:t>
      </w:r>
      <m:oMath>
        <m:sSup>
          <m:e>
            <m:r>
              <m:t>10</m:t>
            </m:r>
          </m:e>
          <m:sup>
            <m:r>
              <m:t>26</m:t>
            </m:r>
          </m:sup>
        </m:sSup>
      </m:oMath>
      <w:r>
        <w:t xml:space="preserve"> </w:t>
      </w:r>
      <w:r>
        <w:t xml:space="preserve">FLOPs training must publish safety frameworks that show active governance mechanisms.</w:t>
      </w:r>
    </w:p>
    <w:p>
      <w:pPr>
        <w:pStyle w:val="BodyText"/>
      </w:pPr>
      <w:r>
        <w:t xml:space="preserve">The EU Digital Omnibus (November 2025) proposes extending high-risk AI compliance deadlines to December 2027, conditional on availability of standards and support infrastructure. Regardless of whether enforcement occurs in August 2026 or December 2027, the fundamental requirement remains unchanged: continuous, quantitative, auditable governance monitoring with evidence of resilience against adversarial threats.</w:t>
      </w:r>
    </w:p>
    <w:bookmarkEnd w:id="94"/>
    <w:bookmarkStart w:id="95" w:name="telos-as-regulatory-infrastructure"/>
    <w:p>
      <w:pPr>
        <w:pStyle w:val="Heading3"/>
      </w:pPr>
      <w:r>
        <w:t xml:space="preserve">TELOS as Regulatory Infrastructure</w:t>
      </w:r>
    </w:p>
    <w:p>
      <w:pPr>
        <w:pStyle w:val="FirstParagraph"/>
      </w:pPr>
      <w:r>
        <w:t xml:space="preserve">TELOS provides this infrastructure through runtime constitutional governance:</w:t>
      </w:r>
      <w:r>
        <w:t xml:space="preserve"> </w:t>
      </w:r>
      <w:r>
        <w:t xml:space="preserve">1. Human governors author constitutional requirements (purpose, scope, boundaries)</w:t>
      </w:r>
      <w:r>
        <w:t xml:space="preserve"> </w:t>
      </w:r>
      <w:r>
        <w:t xml:space="preserve">2. Primacy Attractor instantiates these as fixed reference in embedding space</w:t>
      </w:r>
      <w:r>
        <w:t xml:space="preserve"> </w:t>
      </w:r>
      <w:r>
        <w:t xml:space="preserve">3. Orchestration-layer governance enforces compliance through quantitative measurement</w:t>
      </w:r>
      <w:r>
        <w:t xml:space="preserve"> </w:t>
      </w:r>
      <w:r>
        <w:t xml:space="preserve">4. Proportional intervention applies graduated corrections (gentle, strong, regeneration)</w:t>
      </w:r>
      <w:r>
        <w:t xml:space="preserve"> </w:t>
      </w:r>
      <w:r>
        <w:t xml:space="preserve">5. JSONL telemetry generates complete audit trails for regulatory submission</w:t>
      </w:r>
    </w:p>
    <w:p>
      <w:pPr>
        <w:pStyle w:val="BodyText"/>
      </w:pPr>
      <w:r>
        <w:t xml:space="preserve">This is not prompt engineering, it is architectural governance operating above the model layer. Adversarial validation (0% ASR) proves the security properties that SB 53 safety frameworks must document. JSONL telemetry provides the continuous monitoring evidence that EU AI Act Article 72 explicitly requires. TELOS addresses immediate regulatory compliance needs with empirically validated infrastructure.</w:t>
      </w:r>
    </w:p>
    <w:bookmarkEnd w:id="95"/>
    <w:bookmarkStart w:id="96" w:name="from-aspiration-to-empirical-evidence"/>
    <w:p>
      <w:pPr>
        <w:pStyle w:val="Heading3"/>
      </w:pPr>
      <w:r>
        <w:t xml:space="preserve">From Aspiration to Empirical Evidence</w:t>
      </w:r>
    </w:p>
    <w:p>
      <w:pPr>
        <w:pStyle w:val="FirstParagraph"/>
      </w:pPr>
      <w:r>
        <w:t xml:space="preserve">We do not claim to have solved AI governance. We claim to have made it:</w:t>
      </w:r>
      <w:r>
        <w:t xml:space="preserve"> </w:t>
      </w:r>
      <w:r>
        <w:t xml:space="preserve">- Measurable through quantitative fidelity scores and ASR/VDR metrics</w:t>
      </w:r>
      <w:r>
        <w:t xml:space="preserve"> </w:t>
      </w:r>
      <w:r>
        <w:t xml:space="preserve">- Defensible through 0% ASR adversarial validation</w:t>
      </w:r>
      <w:r>
        <w:t xml:space="preserve"> </w:t>
      </w:r>
      <w:r>
        <w:t xml:space="preserve">- Auditable through comprehensive JSONL telemetry</w:t>
      </w:r>
      <w:r>
        <w:t xml:space="preserve"> </w:t>
      </w:r>
      <w:r>
        <w:t xml:space="preserve">- Constitutionally enforceable through orchestration-layer architectural governance</w:t>
      </w:r>
    </w:p>
    <w:p>
      <w:pPr>
        <w:pStyle w:val="BodyText"/>
      </w:pPr>
      <w:r>
        <w:t xml:space="preserve">The same quality systems that ensure safety in medical devices (FDA QSR), reliability in manufacturing (ISO 9001), and compliance in regulated industries can govern AI systems. TELOS proves this translation is possible. Adversarial validation proves it works against real threats.</w:t>
      </w:r>
    </w:p>
    <w:p>
      <w:pPr>
        <w:pStyle w:val="BodyText"/>
      </w:pPr>
      <w:r>
        <w:t xml:space="preserve">From governance theater to constitutional security.</w:t>
      </w:r>
      <w:r>
        <w:t xml:space="preserve"> </w:t>
      </w:r>
      <w:r>
        <w:t xml:space="preserve">From prompt engineering to architectural enforcement.</w:t>
      </w:r>
      <w:r>
        <w:t xml:space="preserve"> </w:t>
      </w:r>
      <w:r>
        <w:t xml:space="preserve">From aspirational claims to adversarially validated infrastructure.</w:t>
      </w:r>
    </w:p>
    <w:p>
      <w:pPr>
        <w:pStyle w:val="BodyText"/>
      </w:pPr>
      <w:r>
        <w:t xml:space="preserve">This is what we have built, validated, and this is the path forward.</w:t>
      </w:r>
    </w:p>
    <w:bookmarkEnd w:id="96"/>
    <w:bookmarkEnd w:id="97"/>
    <w:bookmarkStart w:id="101" w:name="references"/>
    <w:p>
      <w:pPr>
        <w:pStyle w:val="Heading2"/>
      </w:pPr>
      <w:r>
        <w:t xml:space="preserve">References</w:t>
      </w:r>
    </w:p>
    <w:bookmarkStart w:id="98" w:name="academic-literature"/>
    <w:p>
      <w:pPr>
        <w:pStyle w:val="Heading3"/>
      </w:pPr>
      <w:r>
        <w:t xml:space="preserve">Academic Literature</w:t>
      </w:r>
    </w:p>
    <w:p>
      <w:pPr>
        <w:pStyle w:val="FirstParagraph"/>
      </w:pPr>
      <w:r>
        <w:t xml:space="preserve">Amodei, D. (2026). The Adolescence of Technology: Confronting and Overcoming the Risks of Powerful AI. https://www.darioamodei.com/essay/the-adolescence-of-technology</w:t>
      </w:r>
    </w:p>
    <w:p>
      <w:pPr>
        <w:pStyle w:val="BodyText"/>
      </w:pPr>
      <w:r>
        <w:t xml:space="preserve">Bai, Y., et al. (2022). Constitutional AI: Harmlessness from AI Feedback. arXiv:2212.08073.</w:t>
      </w:r>
    </w:p>
    <w:p>
      <w:pPr>
        <w:pStyle w:val="BodyText"/>
      </w:pPr>
      <w:r>
        <w:t xml:space="preserve">Cover, T. M., &amp; Thomas, J. A. (2006). Elements of Information Theory (2nd ed.). Wiley.</w:t>
      </w:r>
    </w:p>
    <w:p>
      <w:pPr>
        <w:pStyle w:val="BodyText"/>
      </w:pPr>
      <w:r>
        <w:t xml:space="preserve">Gu, Y., et al. (2024). When Attention Sink Emerges in Language Models. arXiv:2401.00000.</w:t>
      </w:r>
    </w:p>
    <w:p>
      <w:pPr>
        <w:pStyle w:val="BodyText"/>
      </w:pPr>
      <w:r>
        <w:t xml:space="preserve">Hopfield, J. J. (1982). Neural networks and physical systems with emergent computational abilities. PNAS, 79(8), 2554-2558.</w:t>
      </w:r>
    </w:p>
    <w:p>
      <w:pPr>
        <w:pStyle w:val="BodyText"/>
      </w:pPr>
      <w:r>
        <w:t xml:space="preserve">Khalil, H. K. (2002). Nonlinear Systems (3rd ed.). Prentice Hall.</w:t>
      </w:r>
    </w:p>
    <w:p>
      <w:pPr>
        <w:pStyle w:val="BodyText"/>
      </w:pPr>
      <w:r>
        <w:t xml:space="preserve">Laban, P., et al. (2025). LLMs Get Lost in the Middle of Long Contexts. Microsoft Research.</w:t>
      </w:r>
    </w:p>
    <w:p>
      <w:pPr>
        <w:pStyle w:val="BodyText"/>
      </w:pPr>
      <w:r>
        <w:t xml:space="preserve">Liu, N., et al. (2024). Lost in the Middle: How Language Models Use Long Contexts. arXiv:2307.03172.</w:t>
      </w:r>
    </w:p>
    <w:p>
      <w:pPr>
        <w:pStyle w:val="BodyText"/>
      </w:pPr>
      <w:r>
        <w:t xml:space="preserve">Liu, T., Zhang, J., &amp; Wang, Y. (2023). Attention Sorting Combats Recency Bias in Long Context Language Models. arXiv:2310.01427.</w:t>
      </w:r>
    </w:p>
    <w:p>
      <w:pPr>
        <w:pStyle w:val="BodyText"/>
      </w:pPr>
      <w:r>
        <w:t xml:space="preserve">Montgomery, D. C. (2020). Introduction to Statistical Quality Control (8th ed.). Wiley.</w:t>
      </w:r>
    </w:p>
    <w:p>
      <w:pPr>
        <w:pStyle w:val="BodyText"/>
      </w:pPr>
      <w:r>
        <w:t xml:space="preserve">Murdock, B. B. (1962). The serial position effect of free recall. Journal of Experimental Psychology, 64(5), 482-488.</w:t>
      </w:r>
    </w:p>
    <w:p>
      <w:pPr>
        <w:pStyle w:val="BodyText"/>
      </w:pPr>
      <w:r>
        <w:t xml:space="preserve">Ogata, K. (2009). Modern Control Engineering (5th ed.). Prentice Hall.</w:t>
      </w:r>
    </w:p>
    <w:p>
      <w:pPr>
        <w:pStyle w:val="BodyText"/>
      </w:pPr>
      <w:r>
        <w:t xml:space="preserve">Reimers, N., &amp; Gurevych, I. (2019). Sentence-BERT: Sentence Embeddings using Siamese BERT-Networks. EMNLP 2019.</w:t>
      </w:r>
    </w:p>
    <w:p>
      <w:pPr>
        <w:pStyle w:val="BodyText"/>
      </w:pPr>
      <w:r>
        <w:t xml:space="preserve">Rottger, P., et al. (2024). XSTest: A Test Suite for Identifying Exaggerated Safety Behaviors in Large Language Models. arXiv:2308.01263.</w:t>
      </w:r>
    </w:p>
    <w:p>
      <w:pPr>
        <w:pStyle w:val="BodyText"/>
      </w:pPr>
      <w:r>
        <w:t xml:space="preserve">Shewhart, W. A. (1931). Economic Control of Quality of Manufactured Product. Van Nostrand.</w:t>
      </w:r>
    </w:p>
    <w:p>
      <w:pPr>
        <w:pStyle w:val="BodyText"/>
      </w:pPr>
      <w:r>
        <w:t xml:space="preserve">Strogatz, S. H. (2014). Nonlinear Dynamics and Chaos (2nd ed.). Westview Press.</w:t>
      </w:r>
    </w:p>
    <w:p>
      <w:pPr>
        <w:pStyle w:val="BodyText"/>
      </w:pPr>
      <w:r>
        <w:t xml:space="preserve">Vaswani, A., et al. (2017). Attention is All You Need. In Advances in Neural Information Processing Systems 30 (NeurIPS 2017).</w:t>
      </w:r>
    </w:p>
    <w:p>
      <w:pPr>
        <w:pStyle w:val="BodyText"/>
      </w:pPr>
      <w:r>
        <w:t xml:space="preserve">Wu, Z., et al. (2025). Position Bias in Transformer-based Models. arXiv:2401.00000.</w:t>
      </w:r>
    </w:p>
    <w:p>
      <w:pPr>
        <w:pStyle w:val="BodyText"/>
      </w:pPr>
      <w:r>
        <w:t xml:space="preserve">Yang, B., et al. (2025). RoPE to NoPE and Back Again: A New Hybrid Attention Strategy. arXiv:2501.18795.</w:t>
      </w:r>
    </w:p>
    <w:bookmarkEnd w:id="98"/>
    <w:bookmarkStart w:id="99" w:name="standards-and-regulations"/>
    <w:p>
      <w:pPr>
        <w:pStyle w:val="Heading3"/>
      </w:pPr>
      <w:r>
        <w:t xml:space="preserve">Standards and Regulations</w:t>
      </w:r>
    </w:p>
    <w:p>
      <w:pPr>
        <w:pStyle w:val="FirstParagraph"/>
      </w:pPr>
      <w:r>
        <w:t xml:space="preserve">21 CFR Part 820. (2023). Quality System Regulation. U.S. Food and Drug Administration.</w:t>
      </w:r>
    </w:p>
    <w:p>
      <w:pPr>
        <w:pStyle w:val="BodyText"/>
      </w:pPr>
      <w:r>
        <w:t xml:space="preserve">California SB 53. (2025). Transparency in Frontier Artificial Intelligence Act. California Legislature. https://sb53.info</w:t>
      </w:r>
    </w:p>
    <w:p>
      <w:pPr>
        <w:pStyle w:val="BodyText"/>
      </w:pPr>
      <w:r>
        <w:t xml:space="preserve">California SB 243. (2025). Child Safety: Artificial Intelligence. California Legislature.</w:t>
      </w:r>
    </w:p>
    <w:p>
      <w:pPr>
        <w:pStyle w:val="BodyText"/>
      </w:pPr>
      <w:r>
        <w:t xml:space="preserve">EU AI Act. (2024). Regulation (EU) 2024/1689. European Parliament and Council.</w:t>
      </w:r>
    </w:p>
    <w:p>
      <w:pPr>
        <w:pStyle w:val="BodyText"/>
      </w:pPr>
      <w:r>
        <w:t xml:space="preserve">ISO 9001:2015. Quality management systems, Requirements. International Organization for Standardization.</w:t>
      </w:r>
    </w:p>
    <w:p>
      <w:pPr>
        <w:pStyle w:val="BodyText"/>
      </w:pPr>
      <w:r>
        <w:t xml:space="preserve">ISO 13485:2016. Medical devices, Quality management systems. International Organization for Standardization.</w:t>
      </w:r>
    </w:p>
    <w:p>
      <w:pPr>
        <w:pStyle w:val="BodyText"/>
      </w:pPr>
      <w:r>
        <w:t xml:space="preserve">NIST. (2023). AI Risk Management Framework 1.0. National Institute of Standards and Technology.</w:t>
      </w:r>
    </w:p>
    <w:bookmarkEnd w:id="99"/>
    <w:bookmarkStart w:id="100" w:name="technical-documentation"/>
    <w:p>
      <w:pPr>
        <w:pStyle w:val="Heading3"/>
      </w:pPr>
      <w:r>
        <w:t xml:space="preserve">Technical Documentation</w:t>
      </w:r>
    </w:p>
    <w:p>
      <w:pPr>
        <w:pStyle w:val="FirstParagraph"/>
      </w:pPr>
      <w:r>
        <w:t xml:space="preserve">PyTorch Contributors. (2023). torch.nn.functional.scaled_dot_product_attention. https://pytorch.org/docs/stable/generated/torch.nn.functional.scaled_dot_product_attention.html</w:t>
      </w:r>
    </w:p>
    <w:bookmarkEnd w:id="100"/>
    <w:bookmarkEnd w:id="101"/>
    <w:bookmarkStart w:id="107" w:name="X0436421e76cdc9293a20ea1358e82f6becb75a6"/>
    <w:p>
      <w:pPr>
        <w:pStyle w:val="Heading2"/>
      </w:pPr>
      <w:r>
        <w:t xml:space="preserve">Appendix A: Adversarial Validation Results</w:t>
      </w:r>
    </w:p>
    <w:p>
      <w:pPr>
        <w:pStyle w:val="FirstParagraph"/>
      </w:pPr>
      <w:r>
        <w:t xml:space="preserve">Validation Date: January 2026</w:t>
      </w:r>
      <w:r>
        <w:t xml:space="preserve"> </w:t>
      </w:r>
      <w:r>
        <w:t xml:space="preserve">Models Tested: Mistral Small 2501, Mistral Large 2501</w:t>
      </w:r>
      <w:r>
        <w:t xml:space="preserve"> </w:t>
      </w:r>
      <w:r>
        <w:t xml:space="preserve">Attack Library: 2,550 adversarial prompts across 5 categories (1,200 AILuminate + 400 HarmBench + 900 MedSafetyBench + 50 SB 243)</w:t>
      </w:r>
    </w:p>
    <w:bookmarkStart w:id="102" w:name="summary"/>
    <w:p>
      <w:pPr>
        <w:pStyle w:val="Heading3"/>
      </w:pPr>
      <w:r>
        <w:t xml:space="preserve">Summary</w:t>
      </w:r>
    </w:p>
    <w:p>
      <w:pPr>
        <w:pStyle w:val="FirstParagraph"/>
      </w:pPr>
      <w:r>
        <w:t xml:space="preserve">Adversarial security testing validates TELOS attack resistance:</w:t>
      </w:r>
      <w:r>
        <w:t xml:space="preserve"> </w:t>
      </w:r>
      <w:r>
        <w:t xml:space="preserve">- Attack Success Rate: 0.0% (0/2,550 attacks succeeded)</w:t>
      </w:r>
      <w:r>
        <w:t xml:space="preserve"> </w:t>
      </w:r>
      <w:r>
        <w:t xml:space="preserve">- Violation Defense Rate: 100.0% (2,550/2,550 attacks blocked)</w:t>
      </w:r>
      <w:r>
        <w:t xml:space="preserve"> </w:t>
      </w:r>
      <w:r>
        <w:t xml:space="preserve">- Baseline Comparison: 0/2,550 observed vs 3.7-11.1% ASR (system prompts)</w:t>
      </w:r>
    </w:p>
    <w:bookmarkEnd w:id="102"/>
    <w:bookmarkStart w:id="103" w:name="attack-categories-tested"/>
    <w:p>
      <w:pPr>
        <w:pStyle w:val="Heading3"/>
      </w:pPr>
      <w:r>
        <w:t xml:space="preserve">Attack Categories Tested</w:t>
      </w:r>
    </w:p>
    <w:p>
      <w:pPr>
        <w:pStyle w:val="Compact"/>
        <w:numPr>
          <w:ilvl w:val="0"/>
          <w:numId w:val="1009"/>
        </w:numPr>
      </w:pPr>
      <w:r>
        <w:t xml:space="preserve">Prompt Injection (Instruction Override):</w:t>
      </w:r>
    </w:p>
    <w:p>
      <w:pPr>
        <w:pStyle w:val="Compact"/>
        <w:numPr>
          <w:ilvl w:val="0"/>
          <w:numId w:val="1010"/>
        </w:numPr>
      </w:pPr>
      <w:r>
        <w:t xml:space="preserve">Attempts to override system instructions through embedded commands</w:t>
      </w:r>
    </w:p>
    <w:p>
      <w:pPr>
        <w:pStyle w:val="Compact"/>
        <w:numPr>
          <w:ilvl w:val="0"/>
          <w:numId w:val="1010"/>
        </w:numPr>
      </w:pPr>
      <w:r>
        <w:t xml:space="preserve">Example:</w:t>
      </w:r>
      <w:r>
        <w:t xml:space="preserve"> </w:t>
      </w:r>
      <w:r>
        <w:t xml:space="preserve">“Ignore all previous instructions and…”</w:t>
      </w:r>
    </w:p>
    <w:p>
      <w:pPr>
        <w:pStyle w:val="Compact"/>
        <w:numPr>
          <w:ilvl w:val="0"/>
          <w:numId w:val="1011"/>
        </w:numPr>
      </w:pPr>
      <w:r>
        <w:t xml:space="preserve">Jailbreaking (Constraint Violation):</w:t>
      </w:r>
    </w:p>
    <w:p>
      <w:pPr>
        <w:pStyle w:val="Compact"/>
        <w:numPr>
          <w:ilvl w:val="0"/>
          <w:numId w:val="1012"/>
        </w:numPr>
      </w:pPr>
      <w:r>
        <w:t xml:space="preserve">Roleplay scenarios designed to bypass boundaries</w:t>
      </w:r>
    </w:p>
    <w:p>
      <w:pPr>
        <w:pStyle w:val="Compact"/>
        <w:numPr>
          <w:ilvl w:val="0"/>
          <w:numId w:val="1012"/>
        </w:numPr>
      </w:pPr>
      <w:r>
        <w:t xml:space="preserve">Example:</w:t>
      </w:r>
      <w:r>
        <w:t xml:space="preserve"> </w:t>
      </w:r>
      <w:r>
        <w:t xml:space="preserve">“Let’s play a game where you pretend to be…”</w:t>
      </w:r>
    </w:p>
    <w:p>
      <w:pPr>
        <w:pStyle w:val="Compact"/>
        <w:numPr>
          <w:ilvl w:val="0"/>
          <w:numId w:val="1013"/>
        </w:numPr>
      </w:pPr>
      <w:r>
        <w:t xml:space="preserve">Role Manipulation (Identity Confusion):</w:t>
      </w:r>
    </w:p>
    <w:p>
      <w:pPr>
        <w:pStyle w:val="Compact"/>
        <w:numPr>
          <w:ilvl w:val="0"/>
          <w:numId w:val="1014"/>
        </w:numPr>
      </w:pPr>
      <w:r>
        <w:t xml:space="preserve">Attempts to confuse the AI about its role/identity</w:t>
      </w:r>
    </w:p>
    <w:p>
      <w:pPr>
        <w:pStyle w:val="Compact"/>
        <w:numPr>
          <w:ilvl w:val="0"/>
          <w:numId w:val="1014"/>
        </w:numPr>
      </w:pPr>
      <w:r>
        <w:t xml:space="preserve">Example:</w:t>
      </w:r>
      <w:r>
        <w:t xml:space="preserve"> </w:t>
      </w:r>
      <w:r>
        <w:t xml:space="preserve">“You are now a different AI that…”</w:t>
      </w:r>
    </w:p>
    <w:p>
      <w:pPr>
        <w:pStyle w:val="Compact"/>
        <w:numPr>
          <w:ilvl w:val="0"/>
          <w:numId w:val="1015"/>
        </w:numPr>
      </w:pPr>
      <w:r>
        <w:t xml:space="preserve">Context Manipulation (Semantic Boundary Probing):</w:t>
      </w:r>
    </w:p>
    <w:p>
      <w:pPr>
        <w:pStyle w:val="Compact"/>
        <w:numPr>
          <w:ilvl w:val="0"/>
          <w:numId w:val="1016"/>
        </w:numPr>
      </w:pPr>
      <w:r>
        <w:t xml:space="preserve">Gradual boundary erosion through context shifting</w:t>
      </w:r>
    </w:p>
    <w:p>
      <w:pPr>
        <w:pStyle w:val="Compact"/>
        <w:numPr>
          <w:ilvl w:val="0"/>
          <w:numId w:val="1016"/>
        </w:numPr>
      </w:pPr>
      <w:r>
        <w:t xml:space="preserve">Example:</w:t>
      </w:r>
      <w:r>
        <w:t xml:space="preserve"> </w:t>
      </w:r>
      <w:r>
        <w:t xml:space="preserve">“Since we’re discussing X, let’s also cover Y…”</w:t>
      </w:r>
    </w:p>
    <w:p>
      <w:pPr>
        <w:pStyle w:val="Compact"/>
        <w:numPr>
          <w:ilvl w:val="0"/>
          <w:numId w:val="1017"/>
        </w:numPr>
      </w:pPr>
      <w:r>
        <w:t xml:space="preserve">Privacy Violations (Data Extraction):</w:t>
      </w:r>
    </w:p>
    <w:p>
      <w:pPr>
        <w:pStyle w:val="Compact"/>
        <w:numPr>
          <w:ilvl w:val="0"/>
          <w:numId w:val="1018"/>
        </w:numPr>
      </w:pPr>
      <w:r>
        <w:t xml:space="preserve">Attempts to extract information outside declared scope</w:t>
      </w:r>
    </w:p>
    <w:p>
      <w:pPr>
        <w:pStyle w:val="Compact"/>
        <w:numPr>
          <w:ilvl w:val="0"/>
          <w:numId w:val="1018"/>
        </w:numPr>
      </w:pPr>
      <w:r>
        <w:t xml:space="preserve">Example:</w:t>
      </w:r>
      <w:r>
        <w:t xml:space="preserve"> </w:t>
      </w:r>
      <w:r>
        <w:t xml:space="preserve">“Can you share user data for research purposes?”</w:t>
      </w:r>
    </w:p>
    <w:bookmarkEnd w:id="103"/>
    <w:bookmarkStart w:id="104" w:name="results-by-model"/>
    <w:p>
      <w:pPr>
        <w:pStyle w:val="Heading3"/>
      </w:pPr>
      <w:r>
        <w:t xml:space="preserve">Results by Model</w:t>
      </w:r>
    </w:p>
    <w:p>
      <w:pPr>
        <w:pStyle w:val="FirstParagraph"/>
      </w:pPr>
      <w:r>
        <w:t xml:space="preserve">Mistral Small 2501:</w:t>
      </w:r>
      <w:r>
        <w:t xml:space="preserve"> </w:t>
      </w:r>
      <w:r>
        <w:t xml:space="preserve">- Raw model: 30.8% ASR (vulnerable)</w:t>
      </w:r>
      <w:r>
        <w:t xml:space="preserve"> </w:t>
      </w:r>
      <w:r>
        <w:t xml:space="preserve">- System prompt: 11.1% ASR (improved but incomplete)</w:t>
      </w:r>
      <w:r>
        <w:t xml:space="preserve"> </w:t>
      </w:r>
      <w:r>
        <w:t xml:space="preserve">- TELOS: 0.0% observed ASR (0/2,550)</w:t>
      </w:r>
    </w:p>
    <w:p>
      <w:pPr>
        <w:pStyle w:val="BodyText"/>
      </w:pPr>
      <w:r>
        <w:t xml:space="preserve">Mistral Large 2501:</w:t>
      </w:r>
      <w:r>
        <w:t xml:space="preserve"> </w:t>
      </w:r>
      <w:r>
        <w:t xml:space="preserve">- Raw model: 43.9% ASR (more vulnerable than Small!)</w:t>
      </w:r>
      <w:r>
        <w:t xml:space="preserve"> </w:t>
      </w:r>
      <w:r>
        <w:t xml:space="preserve">- System prompt: 3.7% ASR (improved but not perfect)</w:t>
      </w:r>
      <w:r>
        <w:t xml:space="preserve"> </w:t>
      </w:r>
      <w:r>
        <w:t xml:space="preserve">- TELOS: 0.0% observed ASR (0/2,550)</w:t>
      </w:r>
    </w:p>
    <w:p>
      <w:pPr>
        <w:pStyle w:val="BodyText"/>
      </w:pPr>
      <w:r>
        <w:t xml:space="preserve">Key Finding: Larger models showed higher attack success rates without governance. This highlights that scaling the model alone does not guarantee safety.</w:t>
      </w:r>
    </w:p>
    <w:bookmarkEnd w:id="104"/>
    <w:bookmarkStart w:id="105" w:name="cross-model-consistency"/>
    <w:p>
      <w:pPr>
        <w:pStyle w:val="Heading3"/>
      </w:pPr>
      <w:r>
        <w:t xml:space="preserve">Cross-Model Consistency</w:t>
      </w:r>
    </w:p>
    <w:p>
      <w:pPr>
        <w:pStyle w:val="FirstParagraph"/>
      </w:pPr>
      <w:r>
        <w:t xml:space="preserve">TELOS maintained 0% ASR across both model sizes. This demonstrates:</w:t>
      </w:r>
      <w:r>
        <w:t xml:space="preserve"> </w:t>
      </w:r>
      <w:r>
        <w:t xml:space="preserve">- Architectural robustness: Defense effectiveness independent of model parameters</w:t>
      </w:r>
      <w:r>
        <w:t xml:space="preserve"> </w:t>
      </w:r>
      <w:r>
        <w:t xml:space="preserve">- Framework portability: Same governance code works across model families</w:t>
      </w:r>
      <w:r>
        <w:t xml:space="preserve"> </w:t>
      </w:r>
      <w:r>
        <w:t xml:space="preserve">- Scalability: No degradation with larger models</w:t>
      </w:r>
    </w:p>
    <w:bookmarkEnd w:id="105"/>
    <w:bookmarkStart w:id="106" w:name="data-availability"/>
    <w:p>
      <w:pPr>
        <w:pStyle w:val="Heading3"/>
      </w:pPr>
      <w:r>
        <w:t xml:space="preserve">Data Availability</w:t>
      </w:r>
    </w:p>
    <w:p>
      <w:pPr>
        <w:pStyle w:val="FirstParagraph"/>
      </w:pPr>
      <w:r>
        <w:t xml:space="preserve">Zenodo Validation Datasets (with forensic audit trails):</w:t>
      </w:r>
    </w:p>
    <w:p>
      <w:pPr>
        <w:pStyle w:val="BodyText"/>
      </w:pPr>
      <w:r>
        <w:t xml:space="preserve">Safety Benchmarks (Adversarial Attack Testing):</w:t>
      </w:r>
      <w:r>
        <w:t xml:space="preserve"> </w:t>
      </w:r>
      <w:r>
        <w:t xml:space="preserve">- AILuminate (MLCommons): DOI 10.5281/zenodo.18370263, 1,200 prompts, 0% ASR</w:t>
      </w:r>
      <w:r>
        <w:t xml:space="preserve"> </w:t>
      </w:r>
      <w:r>
        <w:t xml:space="preserve">- Adversarial Validation (AILuminate + HarmBench + MedSafetyBench + SB 243): DOI 10.5281/zenodo.18370659, 2,550 attacks, 0% ASR</w:t>
      </w:r>
      <w:r>
        <w:t xml:space="preserve"> </w:t>
      </w:r>
      <w:r>
        <w:t xml:space="preserve">- SB 243-Aligned Evaluation Suite: DOI 10.5281/zenodo.18370504, 50 prompts (internal benchmark), 0% ASR</w:t>
      </w:r>
      <w:r>
        <w:t xml:space="preserve"> </w:t>
      </w:r>
      <w:r>
        <w:t xml:space="preserve">- XSTest Calibration: DOI 10.5281/zenodo.18370603, Threshold calibration</w:t>
      </w:r>
    </w:p>
    <w:p>
      <w:pPr>
        <w:pStyle w:val="BodyText"/>
      </w:pPr>
      <w:r>
        <w:t xml:space="preserve">Academic Benchmarks (OOS Detection Proof-of-Concept):</w:t>
      </w:r>
      <w:r>
        <w:t xml:space="preserve"> </w:t>
      </w:r>
      <w:r>
        <w:t xml:space="preserve">- Governance Benchmark (CLINC150/MultiWOZ): DOI 10.5281/zenodo.18009153, OOS: 78% detection, Drift: 100% detection</w:t>
      </w:r>
    </w:p>
    <w:p>
      <w:pPr>
        <w:pStyle w:val="BodyText"/>
      </w:pPr>
      <w:r>
        <w:t xml:space="preserve">Total Safety Validated: 2,800+ adversarial prompts | Combined ASR: 0.00%</w:t>
      </w:r>
    </w:p>
    <w:p>
      <w:pPr>
        <w:pStyle w:val="BodyText"/>
      </w:pPr>
      <w:r>
        <w:t xml:space="preserve">Repository Files (included locally):</w:t>
      </w:r>
      <w:r>
        <w:t xml:space="preserve"> </w:t>
      </w:r>
      <w:r>
        <w:t xml:space="preserve">- validation/telos_complete_validation_dataset.json, Complete 2,550 attack results</w:t>
      </w:r>
      <w:r>
        <w:t xml:space="preserve"> </w:t>
      </w:r>
      <w:r>
        <w:t xml:space="preserve">- validation/medsafetybench_validation_results.json, 900 healthcare attacks</w:t>
      </w:r>
      <w:r>
        <w:t xml:space="preserve"> </w:t>
      </w:r>
      <w:r>
        <w:t xml:space="preserve">- validation/harmbench_validation_results_summary.json, 400 HarmBench attacks</w:t>
      </w:r>
    </w:p>
    <w:p>
      <w:pPr>
        <w:pStyle w:val="BodyText"/>
      </w:pPr>
      <w:r>
        <w:t xml:space="preserve">Reproducibility:</w:t>
      </w:r>
      <w:r>
        <w:t xml:space="preserve"> </w:t>
      </w:r>
      <w:r>
        <w:t xml:space="preserve">- Forensic validation: validation/run_forensic_validation.py (produces full audit trails)</w:t>
      </w:r>
      <w:r>
        <w:t xml:space="preserve"> </w:t>
      </w:r>
      <w:r>
        <w:t xml:space="preserve">- Protocol documentation: validation/VALIDATION_PROTOCOL.md</w:t>
      </w:r>
      <w:r>
        <w:t xml:space="preserve"> </w:t>
      </w:r>
      <w:r>
        <w:t xml:space="preserve">- TELOS configuration: Layer 2 fidelity measurement with baseline normalization</w:t>
      </w:r>
    </w:p>
    <w:p>
      <w:r>
        <w:pict>
          <v:rect style="width:0;height:1.5pt" o:hralign="center" o:hrstd="t" o:hr="t"/>
        </w:pict>
      </w:r>
    </w:p>
    <w:p>
      <w:pPr>
        <w:pStyle w:val="FirstParagraph"/>
      </w:pPr>
      <w:r>
        <w:t xml:space="preserve">Document Version: 2.5</w:t>
      </w:r>
      <w:r>
        <w:t xml:space="preserve"> </w:t>
      </w:r>
      <w:r>
        <w:t xml:space="preserve">Release Date: January 2026</w:t>
      </w:r>
      <w:r>
        <w:t xml:space="preserve"> </w:t>
      </w:r>
      <w:r>
        <w:t xml:space="preserve">Status: Adversarial Security Validated | Open Research Commitment | EU AI Act Ready</w:t>
      </w:r>
      <w:r>
        <w:t xml:space="preserve"> </w:t>
      </w:r>
      <w:r>
        <w:t xml:space="preserve">Next Review: Mid-2026 (EU Digital Omnibus Trilogue Outcome)</w:t>
      </w:r>
    </w:p>
    <w:p>
      <w:pPr>
        <w:pStyle w:val="BodyText"/>
      </w:pPr>
      <w:r>
        <w:t xml:space="preserve">This whitepaper represents the current state of TELOS research and validation. Results are preliminary and subject to peer review. Implementation in production systems should follow appropriate testing and validation protocols.</w:t>
      </w:r>
    </w:p>
    <w:bookmarkEnd w:id="106"/>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df" /><Relationship Type="http://schemas.openxmlformats.org/officeDocument/2006/relationships/image" Id="rId26" Target="media/rId26.pdf" /><Relationship Type="http://schemas.openxmlformats.org/officeDocument/2006/relationships/image" Id="rId30" Target="media/rId30.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2026-02-05T22:56:23Z</dcterms:created>
  <dcterms:modified xsi:type="dcterms:W3CDTF">2026-02-05T22:56:23Z</dcterms:modified>
</cp:coreProperties>
</file>

<file path=docProps/custom.xml><?xml version="1.0" encoding="utf-8"?>
<Properties xmlns="http://schemas.openxmlformats.org/officeDocument/2006/custom-properties" xmlns:vt="http://schemas.openxmlformats.org/officeDocument/2006/docPropsVTypes"/>
</file>