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Calibri" w:hAnsi="Calibri" w:eastAsia="Microsoft YaHei"/>
          <w:b/>
          <w:color w:val="1F2933"/>
          <w:sz w:val="48"/>
        </w:rPr>
        <w:t>AI Learning Garden 需求分析</w:t>
      </w:r>
    </w:p>
    <w:p>
      <w:pPr>
        <w:spacing w:before="0" w:after="240" w:line="264" w:lineRule="auto"/>
      </w:pPr>
      <w:r>
        <w:rPr>
          <w:rFonts w:ascii="Calibri" w:hAnsi="Calibri" w:eastAsia="Microsoft YaHei"/>
          <w:b w:val="0"/>
          <w:color w:val="666666"/>
          <w:sz w:val="21"/>
        </w:rPr>
        <w:t>基于项目 docs 目录 Markdown 文档整理 | 主题：用户端与管理端功能需求 | 日期：2026-05-18</w:t>
      </w:r>
    </w:p>
    <w:tbl>
      <w:tblPr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4F6F9"/>
            <w:tcBorders>
              <w:top w:val="single" w:sz="4" w:space="0" w:color="E4E8EF"/>
              <w:left w:val="single" w:sz="4" w:space="0" w:color="E4E8EF"/>
              <w:bottom w:val="single" w:sz="4" w:space="0" w:color="E4E8EF"/>
              <w:right w:val="single" w:sz="4" w:space="0" w:color="E4E8EF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69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文档结论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3"/>
              </w:rPr>
              <w:t>AI Learning Garden 是一个多用户 AI 学习社区平台。用户端需要先完成账号、个人学习空间、内容创作、公开浏览与本地原型闭环，随后分期补齐复习、社交、知识图谱和作品集；管理端不是独立应用，而是同一 Next.js Web 应用中的 admin 路由组，前期只做角色限制与入口，公开注册前补齐审核、防滥用、举报处理与管理操作能力。</w:t>
            </w:r>
          </w:p>
        </w:tc>
      </w:tr>
    </w:tbl>
    <w:p/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项目定位与需求范围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3"/>
        </w:rPr>
        <w:t>项目定位为多用户 AI 学习社区平台。每个用户维护自己的 AI 学习历程，并把数学推导、可运行代码、论文原文三类材料打通。内容默认属于个人学习空间，用户可选择公开；公开内容进入社区视图，可被其他人浏览、评论和讨论。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3"/>
        </w:rPr>
        <w:t>本需求分析只整理项目用户端和管理端需要完成的功能，不展开底层技术实现细节。功能分期遵循 docs/03-roadmap.md 中 M0 至 M6 的路线：多用户地基先行，社区与审核能力按真实使用需求逐步上线。</w:t>
      </w:r>
    </w:p>
    <w:tbl>
      <w:tblPr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6768"/>
      </w:tblGrid>
      <w:tr>
        <w:tc>
          <w:tcPr>
            <w:tcW w:type="dxa" w:w="2376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依据文档</w:t>
            </w:r>
          </w:p>
        </w:tc>
        <w:tc>
          <w:tcPr>
            <w:tcW w:type="dxa" w:w="6768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用于提炼的需求点</w:t>
            </w:r>
          </w:p>
        </w:tc>
      </w:tr>
      <w:tr>
        <w:tc>
          <w:tcPr>
            <w:tcW w:type="dxa" w:w="237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00-overview.md</w:t>
            </w:r>
          </w:p>
        </w:tc>
        <w:tc>
          <w:tcPr>
            <w:tcW w:type="dxa" w:w="676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项目目标、开发哲学、多用户社区形态、内容可移植要求</w:t>
            </w:r>
          </w:p>
        </w:tc>
      </w:tr>
      <w:tr>
        <w:tc>
          <w:tcPr>
            <w:tcW w:type="dxa" w:w="237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01-architecture.md</w:t>
            </w:r>
          </w:p>
        </w:tc>
        <w:tc>
          <w:tcPr>
            <w:tcW w:type="dxa" w:w="676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角色分区、workspace/community/studio/admin 路由边界、领域模块职责</w:t>
            </w:r>
          </w:p>
        </w:tc>
      </w:tr>
      <w:tr>
        <w:tc>
          <w:tcPr>
            <w:tcW w:type="dxa" w:w="237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03-roadmap.md</w:t>
            </w:r>
          </w:p>
        </w:tc>
        <w:tc>
          <w:tcPr>
            <w:tcW w:type="dxa" w:w="676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M0-M6 里程碑、用户功能与管理功能上线顺序</w:t>
            </w:r>
          </w:p>
        </w:tc>
      </w:tr>
      <w:tr>
        <w:tc>
          <w:tcPr>
            <w:tcW w:type="dxa" w:w="237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05-data-model.md</w:t>
            </w:r>
          </w:p>
        </w:tc>
        <w:tc>
          <w:tcPr>
            <w:tcW w:type="dxa" w:w="676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用户、会话、内容、社交、学习状态、媒体、审核的数据约束</w:t>
            </w:r>
          </w:p>
        </w:tc>
      </w:tr>
      <w:tr>
        <w:tc>
          <w:tcPr>
            <w:tcW w:type="dxa" w:w="237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superpowers specs/plans</w:t>
            </w:r>
          </w:p>
        </w:tc>
        <w:tc>
          <w:tcPr>
            <w:tcW w:type="dxa" w:w="676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前端骨架、本地用户原型、docs console 交互界面与验证范围</w:t>
            </w:r>
          </w:p>
        </w:tc>
      </w:tr>
    </w:tbl>
    <w:p/>
    <w:p>
      <w:r>
        <w:br w:type="page"/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角色与端划分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3"/>
        </w:rPr>
        <w:t>系统采用一个 Next.js Web 应用承载访客、普通用户和管理员三类角色。用户端覆盖社区浏览、个人学习、内容创作和社交互动；管理端通过同一 Web 应用内的 admin 路由组提供，依赖角色鉴权，而不是单独建设一个 admin 应用。</w:t>
      </w:r>
    </w:p>
    <w:tbl>
      <w:tblPr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3528"/>
        <w:gridCol w:w="3888"/>
      </w:tblGrid>
      <w:tr>
        <w:tc>
          <w:tcPr>
            <w:tcW w:type="dxa" w:w="1728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角色</w:t>
            </w:r>
          </w:p>
        </w:tc>
        <w:tc>
          <w:tcPr>
            <w:tcW w:type="dxa" w:w="3528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访问范围</w:t>
            </w:r>
          </w:p>
        </w:tc>
        <w:tc>
          <w:tcPr>
            <w:tcW w:type="dxa" w:w="3888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核心目标</w:t>
            </w:r>
          </w:p>
        </w:tc>
      </w:tr>
      <w:tr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访客</w:t>
            </w:r>
          </w:p>
        </w:tc>
        <w:tc>
          <w:tcPr>
            <w:tcW w:type="dxa" w:w="35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社区公开页、公开用户主页、公开内容详情</w:t>
            </w:r>
          </w:p>
        </w:tc>
        <w:tc>
          <w:tcPr>
            <w:tcW w:type="dxa" w:w="388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低门槛了解公开学习内容，后续可注册参与</w:t>
            </w:r>
          </w:p>
        </w:tc>
      </w:tr>
      <w:tr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注册用户</w:t>
            </w:r>
          </w:p>
        </w:tc>
        <w:tc>
          <w:tcPr>
            <w:tcW w:type="dxa" w:w="35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workspace、studio、community、review、个人主页</w:t>
            </w:r>
          </w:p>
        </w:tc>
        <w:tc>
          <w:tcPr>
            <w:tcW w:type="dxa" w:w="388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记录并展示自己的 AI 学习路径，沉淀概念、论文、实验和复习内容</w:t>
            </w:r>
          </w:p>
        </w:tc>
      </w:tr>
      <w:tr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管理员</w:t>
            </w:r>
          </w:p>
        </w:tc>
        <w:tc>
          <w:tcPr>
            <w:tcW w:type="dxa" w:w="35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admin 路由组、管理接口、审核与防滥用能力</w:t>
            </w:r>
          </w:p>
        </w:tc>
        <w:tc>
          <w:tcPr>
            <w:tcW w:type="dxa" w:w="388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控制公开注册、处理举报、管理违规内容与用户，并保留操作审计</w:t>
            </w:r>
          </w:p>
        </w:tc>
      </w:tr>
    </w:tbl>
    <w:p/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用户端功能需求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3.1 账号、会话与个人资料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支持注册、登录、登出和会话保持；正式后端方案为 Cookie + 服务端 sessions，可撤销会话。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用户资料包含邮箱、昵称、handle、头像、简介、角色和时间戳；handle 用于公开主页 URL。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用户角色至少包括 user 和 admin；普通用户不能进入管理员页面。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本地原型阶段可用 localStorage 模拟账号和会话，并提供 demo 账号验证产品流程。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3.2 我的学习空间 Workspace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展示个人 Roadmap 清单，按阶段和周分组，支持任务勾选、当前任务、下一任务和学习进度摘要。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展示属于当前用户的全部内容，包括 private 和 public；查询时按 owner_id 过滤。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记录概念学习状态，例如 not_started、learning、implemented、reviewed，学习状态归 learning 模块，不写入内容表。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作为用户每日进入系统后的主工作台，先支撑个人学习闭环，再承载更多学习模块。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3.3 Studio 内容创作与编辑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支持概念内容的创建、编辑、删除和草稿保存；字段包括 title、slug、summary、body、tags、stage、week、visibility。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正文以 Markdown 存储，支持数学公式 KaTeX、代码块、论文链接和资源关联字段。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概念详情页需要体现三类核心材料：数学推导、可运行代码、论文原文或阅读笔记。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内容默认 private，用户可主动设为 public 进入社区；写入和删除必须校验 owner_id。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后续扩展到 papers、experiments、journal_entries、roadmap_tasks 等内容类型。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3.4 概念、论文、实验与关系浏览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概念、论文、实验应有列表页和详情页，支持按标签、阶段、周数等元数据组织。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论文内容需要支持作者、年份、原文链接、阅读笔记；实验内容需要支持 repo_url、配置、指标和结论。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内容之间支持单向关系录入，例如概念前置、概念关联论文、概念关联实验、实验关联论文。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反向链接由 relation 模块统一派生查询，用户可从一个内容跳转到被它引用或引用它的相关内容。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3.5 Community 公开浏览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展示 visibility=public 的公开内容，访客和登录用户均可浏览。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支持用户主页，展示用户公开资料和该用户公开内容。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公开内容列表应覆盖概念、论文、实验等内容，早期可先以概念列表完成纵向切片。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社区不是全民共建 wiki；初期协作主要通过评论和讨论发生，内容编辑仍归属于 owner。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3.6 Review 复习模块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从内容正文中的 ::card 标记抽取复习卡。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提供今日到期队列、翻牌页和三档自评。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使用简化 SM-2 算法维护 ease、interval_days、due_date 和 last_reviewed_at。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复习模块属于 learning 运行态平面，和 content 创作平面保持隔离。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3.7 社交互动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支持对公开内容发表评论与楼中楼回复；评论目标可挂在 concept、paper、experiment、journal 或 discussion 上。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支持独立讨论帖 discussions，讨论回复复用 comments。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支持关注用户 follows、通知 notifications、动态流 feed；动态流早期可通过查询聚合生成，不单独建表。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评论、讨论、关注必须登录；用户只能删除自己的评论或讨论，管理员可执行管理删除。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3.8 知识图谱与作品集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当概念量增长到线性列表不够使用时，基于 relation 关系生成知识图谱。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作品集聚合用户的公开概念、论文、实验和阶段成果，服务于个人展示和求职作品集。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图谱可视化选型推迟到 M5，根据当时需求选择 React Flow、Cytoscape.js 或同类方案。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3.9 媒体资源与内容导出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支持文件上传基础能力，文件元数据进入 media.assets，文件本体放入 S3 兼容对象存储。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内容需要可移植，后端应提供 Markdown/JSON 导出接口，避免内容被平台锁死。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浏览器内 Python 运行通过 runtime/PythonRuntime 隔离；Pyodide 懒加载，只承担 numpy 等轻量代码演示。</w:t>
      </w:r>
    </w:p>
    <w:p>
      <w:r>
        <w:br w:type="page"/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用户端功能清单与分期</w:t>
      </w:r>
    </w:p>
    <w:tbl>
      <w:tblPr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5616"/>
        <w:gridCol w:w="1728"/>
      </w:tblGrid>
      <w:tr>
        <w:tc>
          <w:tcPr>
            <w:tcW w:type="dxa" w:w="1800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功能域</w:t>
            </w:r>
          </w:p>
        </w:tc>
        <w:tc>
          <w:tcPr>
            <w:tcW w:type="dxa" w:w="5616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需要完成的功能</w:t>
            </w:r>
          </w:p>
        </w:tc>
        <w:tc>
          <w:tcPr>
            <w:tcW w:type="dxa" w:w="1728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阶段</w:t>
            </w:r>
          </w:p>
        </w:tc>
      </w:tr>
      <w:tr>
        <w:tc>
          <w:tcPr>
            <w:tcW w:type="dxa" w:w="180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账号与会话</w:t>
            </w:r>
          </w:p>
        </w:tc>
        <w:tc>
          <w:tcPr>
            <w:tcW w:type="dxa" w:w="561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注册、登录、登出、会话保持、角色识别、公开资料</w:t>
            </w:r>
          </w:p>
        </w:tc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M0</w:t>
            </w:r>
          </w:p>
        </w:tc>
      </w:tr>
      <w:tr>
        <w:tc>
          <w:tcPr>
            <w:tcW w:type="dxa" w:w="180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内容地基</w:t>
            </w:r>
          </w:p>
        </w:tc>
        <w:tc>
          <w:tcPr>
            <w:tcW w:type="dxa" w:w="561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概念 CRUD、owner_id、visibility、private/public 权限规则</w:t>
            </w:r>
          </w:p>
        </w:tc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M0</w:t>
            </w:r>
          </w:p>
        </w:tc>
      </w:tr>
      <w:tr>
        <w:tc>
          <w:tcPr>
            <w:tcW w:type="dxa" w:w="180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Workspace</w:t>
            </w:r>
          </w:p>
        </w:tc>
        <w:tc>
          <w:tcPr>
            <w:tcW w:type="dxa" w:w="561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Roadmap 清单、任务勾选、学习状态、个人内容聚合</w:t>
            </w:r>
          </w:p>
        </w:tc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M1</w:t>
            </w:r>
          </w:p>
        </w:tc>
      </w:tr>
      <w:tr>
        <w:tc>
          <w:tcPr>
            <w:tcW w:type="dxa" w:w="180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Studio</w:t>
            </w:r>
          </w:p>
        </w:tc>
        <w:tc>
          <w:tcPr>
            <w:tcW w:type="dxa" w:w="561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Markdown 编辑、草稿保存、预览、标签、阶段周数、资源关联</w:t>
            </w:r>
          </w:p>
        </w:tc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M1</w:t>
            </w:r>
          </w:p>
        </w:tc>
      </w:tr>
      <w:tr>
        <w:tc>
          <w:tcPr>
            <w:tcW w:type="dxa" w:w="180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概念详情</w:t>
            </w:r>
          </w:p>
        </w:tc>
        <w:tc>
          <w:tcPr>
            <w:tcW w:type="dxa" w:w="561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数学推导、代码演示状态、论文区块、内容详情浏览</w:t>
            </w:r>
          </w:p>
        </w:tc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M1</w:t>
            </w:r>
          </w:p>
        </w:tc>
      </w:tr>
      <w:tr>
        <w:tc>
          <w:tcPr>
            <w:tcW w:type="dxa" w:w="180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公开浏览</w:t>
            </w:r>
          </w:p>
        </w:tc>
        <w:tc>
          <w:tcPr>
            <w:tcW w:type="dxa" w:w="561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public 内容列表、内容详情、用户主页、社区入口</w:t>
            </w:r>
          </w:p>
        </w:tc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M2</w:t>
            </w:r>
          </w:p>
        </w:tc>
      </w:tr>
      <w:tr>
        <w:tc>
          <w:tcPr>
            <w:tcW w:type="dxa" w:w="180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关系索引</w:t>
            </w:r>
          </w:p>
        </w:tc>
        <w:tc>
          <w:tcPr>
            <w:tcW w:type="dxa" w:w="561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正向关系录入、反向链接查询和 UI</w:t>
            </w:r>
          </w:p>
        </w:tc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M2</w:t>
            </w:r>
          </w:p>
        </w:tc>
      </w:tr>
      <w:tr>
        <w:tc>
          <w:tcPr>
            <w:tcW w:type="dxa" w:w="180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复习</w:t>
            </w:r>
          </w:p>
        </w:tc>
        <w:tc>
          <w:tcPr>
            <w:tcW w:type="dxa" w:w="561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复习卡、到期队列、翻牌页、自评、SM-2 状态</w:t>
            </w:r>
          </w:p>
        </w:tc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M3</w:t>
            </w:r>
          </w:p>
        </w:tc>
      </w:tr>
      <w:tr>
        <w:tc>
          <w:tcPr>
            <w:tcW w:type="dxa" w:w="180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社交</w:t>
            </w:r>
          </w:p>
        </w:tc>
        <w:tc>
          <w:tcPr>
            <w:tcW w:type="dxa" w:w="561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评论、讨论、关注、通知、动态流</w:t>
            </w:r>
          </w:p>
        </w:tc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M4</w:t>
            </w:r>
          </w:p>
        </w:tc>
      </w:tr>
      <w:tr>
        <w:tc>
          <w:tcPr>
            <w:tcW w:type="dxa" w:w="180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图谱/作品集</w:t>
            </w:r>
          </w:p>
        </w:tc>
        <w:tc>
          <w:tcPr>
            <w:tcW w:type="dxa" w:w="561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知识图谱、作品集聚合视图</w:t>
            </w:r>
          </w:p>
        </w:tc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M5</w:t>
            </w:r>
          </w:p>
        </w:tc>
      </w:tr>
      <w:tr>
        <w:tc>
          <w:tcPr>
            <w:tcW w:type="dxa" w:w="180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开放注册相关体验</w:t>
            </w:r>
          </w:p>
        </w:tc>
        <w:tc>
          <w:tcPr>
            <w:tcW w:type="dxa" w:w="5616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公开注册入口、用户增长后的社区入口完善</w:t>
            </w:r>
          </w:p>
        </w:tc>
        <w:tc>
          <w:tcPr>
            <w:tcW w:type="dxa" w:w="172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M6</w:t>
            </w:r>
          </w:p>
        </w:tc>
      </w:tr>
    </w:tbl>
    <w:p/>
    <w:p>
      <w:r>
        <w:br w:type="page"/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管理端功能需求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3"/>
        </w:rPr>
        <w:t>管理端是同一 Web 应用内的 admin 路由组。文档明确不采用独立 admin 应用。早期只需要完成管理员角色识别、路由保护和占位页面；当决定公开注册时，再补齐 moderation 模块中的举报、审核、防滥用和管理操作能力。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5.1 管理入口与权限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admin 页面仅 role='admin' 可访问；访客应跳转登录，非管理员用户应看到无权限提示。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管理员角色来自 identity.users.role，正式环境需要由受控流程赋予，不应开放普通用户自助提升。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所有管理操作必须通过 service 层校验 role='admin'，不能只依赖前端隐藏入口。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5.2 审核与举报处理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接收并查看用户举报 reports，字段包含 reporter_id、target_type、target_id、reason、status、created_at。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根据举报处理公开内容、评论、讨论或用户资料，例如隐藏、删除、恢复、标记已处理。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保留管理操作日志，便于追溯是谁在什么时间对什么目标执行了什么操作。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5.3 社区与注册控制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开放公开注册前，管理端需要具备防滥用、限流、举报流转和注册入口控制能力。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可查看或处理讨论区、评论区、动态内容中的违规行为。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管理端可辅助控制从小范围使用到公开注册的切换，避免未准备好时暴露公开入口。</w:t>
      </w:r>
    </w:p>
    <w:p>
      <w:pPr>
        <w:keepNext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5.4 内容与用户管理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管理员可以读取和处理所有内容，但普通读写仍应遵守 owner_id 与 visibility 的基础规则。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管理员可在必要时删除或下架违规内容、评论和讨论。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管理员可查看用户基础资料、角色状态与公开内容，用于处理举报和滥用问题。</w:t>
      </w:r>
    </w:p>
    <w:p>
      <w:r>
        <w:br w:type="page"/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管理端功能清单与分期</w:t>
      </w:r>
    </w:p>
    <w:tbl>
      <w:tblPr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5544"/>
        <w:gridCol w:w="1655"/>
      </w:tblGrid>
      <w:tr>
        <w:tc>
          <w:tcPr>
            <w:tcW w:type="dxa" w:w="1944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功能域</w:t>
            </w:r>
          </w:p>
        </w:tc>
        <w:tc>
          <w:tcPr>
            <w:tcW w:type="dxa" w:w="5544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需要完成的功能</w:t>
            </w:r>
          </w:p>
        </w:tc>
        <w:tc>
          <w:tcPr>
            <w:tcW w:type="dxa" w:w="1656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阶段</w:t>
            </w:r>
          </w:p>
        </w:tc>
      </w:tr>
      <w:tr>
        <w:tc>
          <w:tcPr>
            <w:tcW w:type="dxa" w:w="19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管理入口</w:t>
            </w:r>
          </w:p>
        </w:tc>
        <w:tc>
          <w:tcPr>
            <w:tcW w:type="dxa" w:w="55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admin 路由组、管理员角色识别、访客跳转、非管理员拒绝访问</w:t>
            </w:r>
          </w:p>
        </w:tc>
        <w:tc>
          <w:tcPr>
            <w:tcW w:type="dxa" w:w="1655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M0-M1</w:t>
            </w:r>
          </w:p>
        </w:tc>
      </w:tr>
      <w:tr>
        <w:tc>
          <w:tcPr>
            <w:tcW w:type="dxa" w:w="19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占位控制台</w:t>
            </w:r>
          </w:p>
        </w:tc>
        <w:tc>
          <w:tcPr>
            <w:tcW w:type="dxa" w:w="55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Reports、Moderation、Registration controls 等卡片可先显示为 inactive</w:t>
            </w:r>
          </w:p>
        </w:tc>
        <w:tc>
          <w:tcPr>
            <w:tcW w:type="dxa" w:w="1655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M0-M1</w:t>
            </w:r>
          </w:p>
        </w:tc>
      </w:tr>
      <w:tr>
        <w:tc>
          <w:tcPr>
            <w:tcW w:type="dxa" w:w="19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管理鉴权</w:t>
            </w:r>
          </w:p>
        </w:tc>
        <w:tc>
          <w:tcPr>
            <w:tcW w:type="dxa" w:w="55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后端 service 层统一校验 role='admin'，不能只依赖前端</w:t>
            </w:r>
          </w:p>
        </w:tc>
        <w:tc>
          <w:tcPr>
            <w:tcW w:type="dxa" w:w="1655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M0 起</w:t>
            </w:r>
          </w:p>
        </w:tc>
      </w:tr>
      <w:tr>
        <w:tc>
          <w:tcPr>
            <w:tcW w:type="dxa" w:w="19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举报处理</w:t>
            </w:r>
          </w:p>
        </w:tc>
        <w:tc>
          <w:tcPr>
            <w:tcW w:type="dxa" w:w="55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reports 列表、状态流转、目标定位、处理结果记录</w:t>
            </w:r>
          </w:p>
        </w:tc>
        <w:tc>
          <w:tcPr>
            <w:tcW w:type="dxa" w:w="1655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M6</w:t>
            </w:r>
          </w:p>
        </w:tc>
      </w:tr>
      <w:tr>
        <w:tc>
          <w:tcPr>
            <w:tcW w:type="dxa" w:w="19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内容审核</w:t>
            </w:r>
          </w:p>
        </w:tc>
        <w:tc>
          <w:tcPr>
            <w:tcW w:type="dxa" w:w="55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处理公开内容、评论、讨论、用户资料中的违规项</w:t>
            </w:r>
          </w:p>
        </w:tc>
        <w:tc>
          <w:tcPr>
            <w:tcW w:type="dxa" w:w="1655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M6</w:t>
            </w:r>
          </w:p>
        </w:tc>
      </w:tr>
      <w:tr>
        <w:tc>
          <w:tcPr>
            <w:tcW w:type="dxa" w:w="19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防滥用</w:t>
            </w:r>
          </w:p>
        </w:tc>
        <w:tc>
          <w:tcPr>
            <w:tcW w:type="dxa" w:w="55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开放注册前补齐限流、防刷、举报和管理操作日志</w:t>
            </w:r>
          </w:p>
        </w:tc>
        <w:tc>
          <w:tcPr>
            <w:tcW w:type="dxa" w:w="1655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M6</w:t>
            </w:r>
          </w:p>
        </w:tc>
      </w:tr>
      <w:tr>
        <w:tc>
          <w:tcPr>
            <w:tcW w:type="dxa" w:w="19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开放注册控制</w:t>
            </w:r>
          </w:p>
        </w:tc>
        <w:tc>
          <w:tcPr>
            <w:tcW w:type="dxa" w:w="55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决定公开时开启注册入口，并配套 moderation 能力</w:t>
            </w:r>
          </w:p>
        </w:tc>
        <w:tc>
          <w:tcPr>
            <w:tcW w:type="dxa" w:w="1655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M6</w:t>
            </w:r>
          </w:p>
        </w:tc>
      </w:tr>
      <w:tr>
        <w:tc>
          <w:tcPr>
            <w:tcW w:type="dxa" w:w="19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导出与合规辅助</w:t>
            </w:r>
          </w:p>
        </w:tc>
        <w:tc>
          <w:tcPr>
            <w:tcW w:type="dxa" w:w="55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完善内容导出接口，降低内容锁定和迁移风险</w:t>
            </w:r>
          </w:p>
        </w:tc>
        <w:tc>
          <w:tcPr>
            <w:tcW w:type="dxa" w:w="1655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M6</w:t>
            </w:r>
          </w:p>
        </w:tc>
      </w:tr>
    </w:tbl>
    <w:p/>
    <w:p>
      <w:r>
        <w:br w:type="page"/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核心权限矩阵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1584"/>
        <w:gridCol w:w="1872"/>
        <w:gridCol w:w="2088"/>
        <w:gridCol w:w="1440"/>
      </w:tblGrid>
      <w:tr>
        <w:tc>
          <w:tcPr>
            <w:tcW w:type="dxa" w:w="2592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操作</w:t>
            </w:r>
          </w:p>
        </w:tc>
        <w:tc>
          <w:tcPr>
            <w:tcW w:type="dxa" w:w="1584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访客</w:t>
            </w:r>
          </w:p>
        </w:tc>
        <w:tc>
          <w:tcPr>
            <w:tcW w:type="dxa" w:w="1872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普通用户</w:t>
            </w:r>
          </w:p>
        </w:tc>
        <w:tc>
          <w:tcPr>
            <w:tcW w:type="dxa" w:w="2088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内容所有者</w:t>
            </w:r>
          </w:p>
        </w:tc>
        <w:tc>
          <w:tcPr>
            <w:tcW w:type="dxa" w:w="1440"/>
            <w:shd w:fill="F2F4F7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管理员</w:t>
            </w:r>
          </w:p>
        </w:tc>
      </w:tr>
      <w:tr>
        <w:tc>
          <w:tcPr>
            <w:tcW w:type="dxa" w:w="259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浏览 public 内容</w:t>
            </w:r>
          </w:p>
        </w:tc>
        <w:tc>
          <w:tcPr>
            <w:tcW w:type="dxa" w:w="158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  <w:tc>
          <w:tcPr>
            <w:tcW w:type="dxa" w:w="18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  <w:tc>
          <w:tcPr>
            <w:tcW w:type="dxa" w:w="208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  <w:tc>
          <w:tcPr>
            <w:tcW w:type="dxa" w:w="144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</w:tr>
      <w:tr>
        <w:tc>
          <w:tcPr>
            <w:tcW w:type="dxa" w:w="259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浏览 private 内容</w:t>
            </w:r>
          </w:p>
        </w:tc>
        <w:tc>
          <w:tcPr>
            <w:tcW w:type="dxa" w:w="158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18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208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  <w:tc>
          <w:tcPr>
            <w:tcW w:type="dxa" w:w="144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</w:tr>
      <w:tr>
        <w:tc>
          <w:tcPr>
            <w:tcW w:type="dxa" w:w="259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创建内容</w:t>
            </w:r>
          </w:p>
        </w:tc>
        <w:tc>
          <w:tcPr>
            <w:tcW w:type="dxa" w:w="158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18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  <w:tc>
          <w:tcPr>
            <w:tcW w:type="dxa" w:w="208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  <w:tc>
          <w:tcPr>
            <w:tcW w:type="dxa" w:w="144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</w:tr>
      <w:tr>
        <w:tc>
          <w:tcPr>
            <w:tcW w:type="dxa" w:w="259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编辑/删除内容</w:t>
            </w:r>
          </w:p>
        </w:tc>
        <w:tc>
          <w:tcPr>
            <w:tcW w:type="dxa" w:w="158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18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208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仅自己的内容</w:t>
            </w:r>
          </w:p>
        </w:tc>
        <w:tc>
          <w:tcPr>
            <w:tcW w:type="dxa" w:w="144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</w:tr>
      <w:tr>
        <w:tc>
          <w:tcPr>
            <w:tcW w:type="dxa" w:w="259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评论/讨论/关注</w:t>
            </w:r>
          </w:p>
        </w:tc>
        <w:tc>
          <w:tcPr>
            <w:tcW w:type="dxa" w:w="158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18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  <w:tc>
          <w:tcPr>
            <w:tcW w:type="dxa" w:w="208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  <w:tc>
          <w:tcPr>
            <w:tcW w:type="dxa" w:w="144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</w:tr>
      <w:tr>
        <w:tc>
          <w:tcPr>
            <w:tcW w:type="dxa" w:w="259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删除评论/讨论</w:t>
            </w:r>
          </w:p>
        </w:tc>
        <w:tc>
          <w:tcPr>
            <w:tcW w:type="dxa" w:w="158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18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仅自己的</w:t>
            </w:r>
          </w:p>
        </w:tc>
        <w:tc>
          <w:tcPr>
            <w:tcW w:type="dxa" w:w="208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仅自己的</w:t>
            </w:r>
          </w:p>
        </w:tc>
        <w:tc>
          <w:tcPr>
            <w:tcW w:type="dxa" w:w="144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</w:tr>
      <w:tr>
        <w:tc>
          <w:tcPr>
            <w:tcW w:type="dxa" w:w="259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查看 admin 页面</w:t>
            </w:r>
          </w:p>
        </w:tc>
        <w:tc>
          <w:tcPr>
            <w:tcW w:type="dxa" w:w="158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18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208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144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</w:tr>
      <w:tr>
        <w:tc>
          <w:tcPr>
            <w:tcW w:type="dxa" w:w="259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处理举报/审核</w:t>
            </w:r>
          </w:p>
        </w:tc>
        <w:tc>
          <w:tcPr>
            <w:tcW w:type="dxa" w:w="158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18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208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不允许</w:t>
            </w:r>
          </w:p>
        </w:tc>
        <w:tc>
          <w:tcPr>
            <w:tcW w:type="dxa" w:w="1440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允许</w:t>
            </w:r>
          </w:p>
        </w:tc>
      </w:tr>
    </w:tbl>
    <w:p/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8. 当前原型的验收要点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3"/>
        </w:rPr>
        <w:t>根据本地用户应用设计文档，第一版前端本地原型可在没有 Go 后端的情况下先验证产品表面。验收重点应围绕用户主流程和管理员限制，而不是完整后端安全性。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可注册、登录、登出，并能在导航或 shell 中看到当前用户与角色。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未登录访问 /workspace 和 /studio 会跳转 /auth?next=&lt;path&gt;。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Workspace 可查看 Roadmap、勾选任务，并显示当前任务和下一任务。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Studio 可创建、编辑、删除概念，支持草稿、预览、tags、stage、week、visibility 和资源字段。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概念详情页可展示数学、代码不可用状态和论文区块。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将概念设为 public 后，它能出现在 Community 公开列表。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admin 账号可进入 /admin；普通用户不能进入，访客需登录。</w:t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9. 明确不纳入当前阶段的事项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不在 M4 前实现评论、关注、通知等 social 模块代码。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不做独立 admin 应用；管理员只是同一 Web 应用内的角色和路由组。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不做实时协同编辑；初期协作通过评论和讨论完成。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浏览器内不运行 PyTorch 或 RL 训练，重型框架代码通过 PaperCode 挂 Colab 等外部链接。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不引入微服务、Kubernetes、GraphQL、Redis、消息队列等当前体量不需要的复杂设施。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不在内容实体表内混入学习状态字段，学习状态单独归 learning 模块维护。</w:t>
      </w:r>
    </w:p>
    <w:p>
      <w:pPr>
        <w:keepNext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10. 后续需求确认建议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确认 M0-M1 的最小交付范围：是否先以本地原型验证完整用户流程，再推进 Go 后端。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确认 public 内容的默认展示规则：是否允许访客浏览，是否需要搜索、排序和标签过滤。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确认管理端 M6 的最小审核工作流：举报状态、处理动作、操作日志粒度和通知方式。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b w:val="0"/>
          <w:color w:val="1F2933"/>
        </w:rPr>
        <w:t>确认内容导出格式：Markdown/JSON 的字段范围、是否导出媒体资源和关系边。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Calibri" w:hAnsi="Calibri" w:eastAsia="Microsoft YaHei"/>
        <w:b w:val="0"/>
        <w:color w:val="666666"/>
        <w:sz w:val="18"/>
      </w:rPr>
      <w:t>AI Learning Garden 需求分析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 w:eastAsia="Microsoft YaHei"/>
      <w:color w:val="1F29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 w:eastAsia="Microsoft YaHei"/>
      <w:color w:val="1F29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