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E3FE4" w14:textId="77777777" w:rsidR="0029611E" w:rsidRDefault="0029611E" w:rsidP="0029611E">
      <w:pPr>
        <w:spacing w:before="100" w:beforeAutospacing="1"/>
        <w:jc w:val="right"/>
        <w:rPr>
          <w:rFonts w:ascii="Gotham Condensed Book" w:hAnsi="Gotham Condensed Book" w:cs="Times New Roman"/>
          <w:sz w:val="88"/>
          <w:szCs w:val="88"/>
        </w:rPr>
      </w:pPr>
      <w:r>
        <w:rPr>
          <w:rFonts w:ascii="Sawasdee" w:hAnsi="Sawasdee" w:cs="Arial"/>
          <w:noProof/>
          <w:sz w:val="72"/>
          <w:szCs w:val="72"/>
        </w:rPr>
        <w:drawing>
          <wp:anchor distT="0" distB="0" distL="0" distR="0" simplePos="0" relativeHeight="251659264" behindDoc="0" locked="0" layoutInCell="1" allowOverlap="1" wp14:anchorId="3BBE8249" wp14:editId="1698F8BF">
            <wp:simplePos x="0" y="0"/>
            <wp:positionH relativeFrom="column">
              <wp:posOffset>-252095</wp:posOffset>
            </wp:positionH>
            <wp:positionV relativeFrom="paragraph">
              <wp:posOffset>-3810</wp:posOffset>
            </wp:positionV>
            <wp:extent cx="1656715" cy="157797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157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awasdee" w:hAnsi="Sawasdee" w:cs="Arial"/>
          <w:noProof/>
          <w:sz w:val="72"/>
          <w:szCs w:val="72"/>
        </w:rPr>
        <w:drawing>
          <wp:anchor distT="0" distB="0" distL="0" distR="0" simplePos="0" relativeHeight="251660288" behindDoc="0" locked="0" layoutInCell="1" allowOverlap="1" wp14:anchorId="058B8325" wp14:editId="5432C80E">
            <wp:simplePos x="0" y="0"/>
            <wp:positionH relativeFrom="column">
              <wp:posOffset>1447165</wp:posOffset>
            </wp:positionH>
            <wp:positionV relativeFrom="paragraph">
              <wp:posOffset>-11430</wp:posOffset>
            </wp:positionV>
            <wp:extent cx="4243070" cy="157797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157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305DB87" w14:textId="4138764F" w:rsidR="0029611E" w:rsidRPr="004770D2" w:rsidRDefault="0029611E" w:rsidP="0029611E">
      <w:pPr>
        <w:spacing w:before="100" w:beforeAutospacing="1"/>
        <w:jc w:val="right"/>
        <w:rPr>
          <w:rFonts w:ascii="Gotham Condensed Book" w:hAnsi="Gotham Condensed Book" w:cs="Times New Roman"/>
          <w:sz w:val="20"/>
          <w:szCs w:val="20"/>
        </w:rPr>
      </w:pPr>
      <w:proofErr w:type="spellStart"/>
      <w:r w:rsidRPr="004770D2">
        <w:rPr>
          <w:rFonts w:ascii="Gotham Condensed Book" w:hAnsi="Gotham Condensed Book" w:cs="Times New Roman"/>
          <w:sz w:val="88"/>
          <w:szCs w:val="88"/>
        </w:rPr>
        <w:t>AssetLink</w:t>
      </w:r>
      <w:proofErr w:type="spellEnd"/>
      <w:r w:rsidRPr="004770D2">
        <w:rPr>
          <w:rFonts w:ascii="Gotham Condensed Book" w:hAnsi="Gotham Condensed Book" w:cs="Times New Roman"/>
          <w:sz w:val="88"/>
          <w:szCs w:val="88"/>
        </w:rPr>
        <w:t xml:space="preserve"> </w:t>
      </w:r>
      <w:r>
        <w:rPr>
          <w:rFonts w:ascii="Gotham Condensed Book" w:hAnsi="Gotham Condensed Book" w:cs="Times New Roman"/>
          <w:sz w:val="88"/>
          <w:szCs w:val="88"/>
        </w:rPr>
        <w:t>Iridium Device Configuration Guide</w:t>
      </w:r>
    </w:p>
    <w:p w14:paraId="5886AED9" w14:textId="77777777" w:rsidR="0029611E" w:rsidRDefault="0029611E" w:rsidP="0029611E">
      <w:pPr>
        <w:spacing w:before="100" w:beforeAutospacing="1"/>
        <w:rPr>
          <w:rFonts w:ascii="Gotham Condensed Book" w:hAnsi="Gotham Condensed Book" w:cs="Times New Roman"/>
          <w:i/>
          <w:sz w:val="36"/>
          <w:szCs w:val="36"/>
        </w:rPr>
      </w:pPr>
    </w:p>
    <w:p w14:paraId="41EE992B" w14:textId="6F227D12" w:rsidR="0029611E" w:rsidRPr="00CA1FDC" w:rsidRDefault="0029611E" w:rsidP="0029611E">
      <w:pPr>
        <w:spacing w:before="100" w:beforeAutospacing="1"/>
        <w:jc w:val="right"/>
        <w:rPr>
          <w:rFonts w:ascii="Times" w:hAnsi="Times" w:cs="Times New Roman"/>
          <w:i/>
          <w:sz w:val="36"/>
          <w:szCs w:val="36"/>
        </w:rPr>
      </w:pPr>
      <w:r>
        <w:rPr>
          <w:rFonts w:ascii="Gotham Condensed Book" w:hAnsi="Gotham Condensed Book" w:cs="Times New Roman"/>
          <w:i/>
          <w:sz w:val="36"/>
          <w:szCs w:val="36"/>
        </w:rPr>
        <w:t>March</w:t>
      </w:r>
      <w:r w:rsidRPr="00CA1FDC">
        <w:rPr>
          <w:rFonts w:ascii="Gotham Condensed Book" w:hAnsi="Gotham Condensed Book" w:cs="Times New Roman"/>
          <w:i/>
          <w:sz w:val="36"/>
          <w:szCs w:val="36"/>
        </w:rPr>
        <w:t xml:space="preserve"> 201</w:t>
      </w:r>
      <w:r>
        <w:rPr>
          <w:rFonts w:ascii="Gotham Condensed Book" w:hAnsi="Gotham Condensed Book" w:cs="Times New Roman"/>
          <w:i/>
          <w:sz w:val="36"/>
          <w:szCs w:val="36"/>
        </w:rPr>
        <w:t>9</w:t>
      </w:r>
    </w:p>
    <w:p w14:paraId="7976D465" w14:textId="77777777" w:rsidR="0029611E" w:rsidRDefault="0029611E" w:rsidP="0029611E">
      <w:pPr>
        <w:spacing w:before="100" w:beforeAutospacing="1"/>
        <w:jc w:val="right"/>
        <w:rPr>
          <w:rFonts w:ascii="Times" w:hAnsi="Times" w:cs="Times New Roman"/>
          <w:sz w:val="20"/>
          <w:szCs w:val="20"/>
        </w:rPr>
      </w:pPr>
    </w:p>
    <w:p w14:paraId="5EBF155C" w14:textId="77777777" w:rsidR="0029611E" w:rsidRPr="004770D2" w:rsidRDefault="0029611E" w:rsidP="0029611E">
      <w:pPr>
        <w:spacing w:before="100" w:beforeAutospacing="1"/>
        <w:jc w:val="right"/>
        <w:rPr>
          <w:rFonts w:ascii="Times" w:hAnsi="Times" w:cs="Times New Roman"/>
          <w:sz w:val="20"/>
          <w:szCs w:val="20"/>
        </w:rPr>
      </w:pPr>
    </w:p>
    <w:p w14:paraId="63A34F33" w14:textId="77777777" w:rsidR="0029611E" w:rsidRPr="004770D2" w:rsidRDefault="0029611E" w:rsidP="0029611E">
      <w:pPr>
        <w:spacing w:before="100" w:beforeAutospacing="1" w:after="115"/>
        <w:rPr>
          <w:rFonts w:ascii="Times" w:hAnsi="Times" w:cs="Times New Roman"/>
          <w:sz w:val="20"/>
          <w:szCs w:val="20"/>
        </w:rPr>
      </w:pPr>
      <w:proofErr w:type="spellStart"/>
      <w:r w:rsidRPr="004770D2">
        <w:rPr>
          <w:rFonts w:ascii="Effra" w:hAnsi="Effra" w:cs="Times New Roman"/>
          <w:b/>
          <w:bCs/>
        </w:rPr>
        <w:t>AssetLink</w:t>
      </w:r>
      <w:proofErr w:type="spellEnd"/>
      <w:r w:rsidRPr="004770D2">
        <w:rPr>
          <w:rFonts w:ascii="Effra" w:hAnsi="Effra" w:cs="Times New Roman"/>
          <w:b/>
          <w:bCs/>
        </w:rPr>
        <w:t xml:space="preserve"> Global LLC</w:t>
      </w:r>
    </w:p>
    <w:p w14:paraId="0B223D22" w14:textId="77777777" w:rsidR="0029611E" w:rsidRPr="004770D2" w:rsidRDefault="003407A6" w:rsidP="0029611E">
      <w:pPr>
        <w:spacing w:before="100" w:beforeAutospacing="1" w:after="115"/>
        <w:rPr>
          <w:rFonts w:ascii="Times" w:hAnsi="Times" w:cs="Times New Roman"/>
          <w:sz w:val="20"/>
          <w:szCs w:val="20"/>
        </w:rPr>
      </w:pPr>
      <w:hyperlink r:id="rId6" w:history="1">
        <w:r w:rsidR="0029611E" w:rsidRPr="004770D2">
          <w:rPr>
            <w:rFonts w:ascii="Effra" w:hAnsi="Effra" w:cs="Times New Roman"/>
            <w:b/>
            <w:bCs/>
            <w:color w:val="0000FF"/>
            <w:u w:val="single"/>
          </w:rPr>
          <w:t>www.assetlinkglobal.com</w:t>
        </w:r>
      </w:hyperlink>
    </w:p>
    <w:p w14:paraId="3B900084" w14:textId="77777777" w:rsidR="0029611E" w:rsidRPr="004770D2" w:rsidRDefault="003407A6" w:rsidP="0029611E">
      <w:pPr>
        <w:spacing w:before="100" w:beforeAutospacing="1" w:after="115"/>
        <w:rPr>
          <w:rFonts w:ascii="Times" w:hAnsi="Times" w:cs="Times New Roman"/>
          <w:sz w:val="20"/>
          <w:szCs w:val="20"/>
        </w:rPr>
      </w:pPr>
      <w:hyperlink r:id="rId7" w:history="1">
        <w:r w:rsidR="0029611E" w:rsidRPr="004770D2">
          <w:rPr>
            <w:rFonts w:ascii="Effra" w:hAnsi="Effra" w:cs="Times New Roman"/>
            <w:b/>
            <w:bCs/>
            <w:color w:val="0000FF"/>
            <w:u w:val="single"/>
          </w:rPr>
          <w:t>service@assetlinkglobal.com</w:t>
        </w:r>
      </w:hyperlink>
      <w:r w:rsidR="0029611E" w:rsidRPr="004770D2">
        <w:rPr>
          <w:rFonts w:ascii="Effra" w:hAnsi="Effra" w:cs="Times New Roman"/>
          <w:b/>
          <w:bCs/>
        </w:rPr>
        <w:t xml:space="preserve"> </w:t>
      </w:r>
    </w:p>
    <w:p w14:paraId="1E70A684" w14:textId="77777777" w:rsidR="0029611E" w:rsidRPr="004770D2" w:rsidRDefault="0029611E" w:rsidP="0029611E">
      <w:pPr>
        <w:spacing w:before="100" w:beforeAutospacing="1" w:after="115"/>
        <w:rPr>
          <w:rFonts w:ascii="Times" w:hAnsi="Times" w:cs="Times New Roman"/>
          <w:sz w:val="20"/>
          <w:szCs w:val="20"/>
        </w:rPr>
      </w:pPr>
      <w:r w:rsidRPr="004770D2">
        <w:rPr>
          <w:rFonts w:ascii="Effra" w:hAnsi="Effra" w:cs="Times New Roman"/>
          <w:b/>
          <w:bCs/>
        </w:rPr>
        <w:t xml:space="preserve">+1 (303) 862.8745 </w:t>
      </w:r>
    </w:p>
    <w:p w14:paraId="62B0D245" w14:textId="77777777" w:rsidR="0029611E" w:rsidRPr="004770D2" w:rsidRDefault="0029611E" w:rsidP="0029611E">
      <w:pPr>
        <w:spacing w:before="100" w:beforeAutospacing="1" w:after="101"/>
        <w:rPr>
          <w:rFonts w:ascii="Times" w:hAnsi="Times" w:cs="Times New Roman"/>
          <w:sz w:val="20"/>
          <w:szCs w:val="20"/>
        </w:rPr>
      </w:pPr>
      <w:r w:rsidRPr="004770D2">
        <w:rPr>
          <w:rFonts w:ascii="Effra" w:hAnsi="Effra" w:cs="Times New Roman"/>
          <w:b/>
          <w:bCs/>
          <w:color w:val="333333"/>
        </w:rPr>
        <w:t>Fax: +1 (720) 862.3515</w:t>
      </w:r>
    </w:p>
    <w:p w14:paraId="347F8360" w14:textId="77777777" w:rsidR="0029611E" w:rsidRPr="004770D2" w:rsidRDefault="0029611E" w:rsidP="0029611E">
      <w:pPr>
        <w:pageBreakBefore/>
        <w:spacing w:before="100" w:beforeAutospacing="1" w:after="115"/>
        <w:rPr>
          <w:rFonts w:ascii="Times" w:hAnsi="Times" w:cs="Times New Roman"/>
          <w:sz w:val="20"/>
          <w:szCs w:val="20"/>
        </w:rPr>
      </w:pPr>
      <w:r w:rsidRPr="004770D2">
        <w:rPr>
          <w:rFonts w:ascii="Effra" w:hAnsi="Effra" w:cs="Times New Roman"/>
          <w:b/>
          <w:bCs/>
          <w:sz w:val="20"/>
          <w:szCs w:val="20"/>
        </w:rPr>
        <w:lastRenderedPageBreak/>
        <w:t xml:space="preserve">Revision History </w:t>
      </w:r>
    </w:p>
    <w:p w14:paraId="1ADFB958" w14:textId="77777777" w:rsidR="0029611E" w:rsidRPr="004770D2" w:rsidRDefault="0029611E" w:rsidP="0029611E">
      <w:pPr>
        <w:spacing w:before="100" w:beforeAutospacing="1" w:after="240"/>
        <w:rPr>
          <w:rFonts w:ascii="Times" w:hAnsi="Times" w:cs="Times New Roman"/>
          <w:sz w:val="20"/>
          <w:szCs w:val="20"/>
        </w:rPr>
      </w:pPr>
    </w:p>
    <w:tbl>
      <w:tblPr>
        <w:tblW w:w="5000" w:type="pct"/>
        <w:tblCellSpacing w:w="0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82"/>
        <w:gridCol w:w="1962"/>
        <w:gridCol w:w="5700"/>
      </w:tblGrid>
      <w:tr w:rsidR="0029611E" w:rsidRPr="004770D2" w14:paraId="7C76A636" w14:textId="77777777" w:rsidTr="00CF7A61">
        <w:trPr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0" w:type="dxa"/>
            </w:tcMar>
            <w:hideMark/>
          </w:tcPr>
          <w:p w14:paraId="13D612AE" w14:textId="77777777" w:rsidR="0029611E" w:rsidRPr="004770D2" w:rsidRDefault="0029611E" w:rsidP="00CF7A61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 w:rsidRPr="004770D2">
              <w:rPr>
                <w:rFonts w:ascii="Effra" w:hAnsi="Effra" w:cs="Times New Roman"/>
                <w:b/>
                <w:bCs/>
                <w:sz w:val="20"/>
                <w:szCs w:val="20"/>
              </w:rPr>
              <w:t xml:space="preserve">Revision </w:t>
            </w:r>
          </w:p>
        </w:tc>
        <w:tc>
          <w:tcPr>
            <w:tcW w:w="1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0" w:type="dxa"/>
            </w:tcMar>
            <w:hideMark/>
          </w:tcPr>
          <w:p w14:paraId="1697490C" w14:textId="77777777" w:rsidR="0029611E" w:rsidRPr="004770D2" w:rsidRDefault="0029611E" w:rsidP="00CF7A61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 w:rsidRPr="004770D2">
              <w:rPr>
                <w:rFonts w:ascii="Effra" w:hAnsi="Effra" w:cs="Times New Roman"/>
                <w:b/>
                <w:bCs/>
                <w:sz w:val="20"/>
                <w:szCs w:val="20"/>
              </w:rPr>
              <w:t xml:space="preserve">Date of Release </w:t>
            </w:r>
          </w:p>
        </w:tc>
        <w:tc>
          <w:tcPr>
            <w:tcW w:w="3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4DA0ECD" w14:textId="77777777" w:rsidR="0029611E" w:rsidRPr="004770D2" w:rsidRDefault="0029611E" w:rsidP="00CF7A61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 w:rsidRPr="004770D2">
              <w:rPr>
                <w:rFonts w:ascii="Effra" w:hAnsi="Effra" w:cs="Times New Roman"/>
                <w:b/>
                <w:bCs/>
                <w:sz w:val="20"/>
                <w:szCs w:val="20"/>
              </w:rPr>
              <w:t xml:space="preserve">Purpose </w:t>
            </w:r>
          </w:p>
        </w:tc>
      </w:tr>
      <w:tr w:rsidR="0029611E" w:rsidRPr="004770D2" w14:paraId="4FE40D54" w14:textId="77777777" w:rsidTr="00CF7A61">
        <w:trPr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6ED35A5A" w14:textId="77777777" w:rsidR="0029611E" w:rsidRPr="004770D2" w:rsidRDefault="0029611E" w:rsidP="00CF7A61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 w:rsidRPr="004770D2">
              <w:rPr>
                <w:rFonts w:ascii="Effra" w:hAnsi="Effra" w:cs="Times New Roman"/>
                <w:sz w:val="20"/>
                <w:szCs w:val="20"/>
              </w:rPr>
              <w:t xml:space="preserve">Initial Draft </w:t>
            </w:r>
          </w:p>
        </w:tc>
        <w:tc>
          <w:tcPr>
            <w:tcW w:w="10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8" w:type="dxa"/>
              <w:bottom w:w="58" w:type="dxa"/>
              <w:right w:w="0" w:type="dxa"/>
            </w:tcMar>
            <w:hideMark/>
          </w:tcPr>
          <w:p w14:paraId="3D3E2EE6" w14:textId="4C592D89" w:rsidR="0029611E" w:rsidRPr="004770D2" w:rsidRDefault="00362212" w:rsidP="00CF7A61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3</w:t>
            </w:r>
            <w:r w:rsidR="0029611E">
              <w:rPr>
                <w:rFonts w:ascii="Effra" w:hAnsi="Effra" w:cs="Times New Roman"/>
                <w:sz w:val="20"/>
                <w:szCs w:val="20"/>
              </w:rPr>
              <w:t>/1/201</w:t>
            </w:r>
            <w:r>
              <w:rPr>
                <w:rFonts w:ascii="Effra" w:hAnsi="Effra" w:cs="Times New Roman"/>
                <w:sz w:val="20"/>
                <w:szCs w:val="20"/>
              </w:rPr>
              <w:t>9</w:t>
            </w:r>
          </w:p>
        </w:tc>
        <w:tc>
          <w:tcPr>
            <w:tcW w:w="30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8" w:type="dxa"/>
              <w:bottom w:w="58" w:type="dxa"/>
              <w:right w:w="58" w:type="dxa"/>
            </w:tcMar>
            <w:hideMark/>
          </w:tcPr>
          <w:p w14:paraId="1599FF4E" w14:textId="18D71AF0" w:rsidR="0029611E" w:rsidRPr="004770D2" w:rsidRDefault="0029611E" w:rsidP="00CF7A6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Iridium device configuration guide for customer</w:t>
            </w:r>
            <w:r w:rsidR="003407A6">
              <w:rPr>
                <w:rFonts w:ascii="Times" w:hAnsi="Times" w:cs="Times New Roman"/>
                <w:sz w:val="20"/>
                <w:szCs w:val="20"/>
              </w:rPr>
              <w:t>s</w:t>
            </w:r>
            <w:r>
              <w:rPr>
                <w:rFonts w:ascii="Times" w:hAnsi="Times" w:cs="Times New Roman"/>
                <w:sz w:val="20"/>
                <w:szCs w:val="20"/>
              </w:rPr>
              <w:t xml:space="preserve"> setting up devices on their own Iridium account.</w:t>
            </w:r>
          </w:p>
        </w:tc>
      </w:tr>
    </w:tbl>
    <w:p w14:paraId="63EBF949" w14:textId="445E5794" w:rsidR="00BA717D" w:rsidRDefault="00BA717D"/>
    <w:p w14:paraId="72529C02" w14:textId="6637F15C" w:rsidR="00BA717D" w:rsidRDefault="00BA717D"/>
    <w:p w14:paraId="0B334159" w14:textId="485EAE86" w:rsidR="00BA717D" w:rsidRDefault="00BA717D"/>
    <w:p w14:paraId="735A378C" w14:textId="6711F323" w:rsidR="00BA717D" w:rsidRDefault="00BA717D"/>
    <w:p w14:paraId="36A97A87" w14:textId="1ECE6DB4" w:rsidR="00BA717D" w:rsidRDefault="00BA717D">
      <w:bookmarkStart w:id="0" w:name="_GoBack"/>
      <w:bookmarkEnd w:id="0"/>
    </w:p>
    <w:p w14:paraId="70535201" w14:textId="477DD25F" w:rsidR="00BA717D" w:rsidRDefault="00BA717D"/>
    <w:p w14:paraId="40FC5077" w14:textId="2AA7C9C9" w:rsidR="00BA717D" w:rsidRDefault="00BA717D"/>
    <w:p w14:paraId="01F4F4B9" w14:textId="2D5D025F" w:rsidR="00BA717D" w:rsidRDefault="00BA717D"/>
    <w:p w14:paraId="6430D3F3" w14:textId="403FEF2A" w:rsidR="00BA717D" w:rsidRDefault="00BA717D"/>
    <w:p w14:paraId="6FC6E896" w14:textId="3CD5A386" w:rsidR="00BA717D" w:rsidRDefault="00BA717D"/>
    <w:p w14:paraId="6AEF2E35" w14:textId="74CCA1FC" w:rsidR="00BA717D" w:rsidRDefault="00BA717D"/>
    <w:p w14:paraId="696F2EC4" w14:textId="6961F688" w:rsidR="00BA717D" w:rsidRDefault="00BA717D"/>
    <w:p w14:paraId="6E3BBDBC" w14:textId="04EAB895" w:rsidR="00BA717D" w:rsidRDefault="00BA717D"/>
    <w:p w14:paraId="3BB7D32B" w14:textId="162CE474" w:rsidR="00BA717D" w:rsidRDefault="00BA717D"/>
    <w:p w14:paraId="5344E2B9" w14:textId="14BAAFF9" w:rsidR="00BA717D" w:rsidRDefault="00BA717D"/>
    <w:p w14:paraId="58FD91FC" w14:textId="12D66909" w:rsidR="00BA717D" w:rsidRDefault="00BA717D"/>
    <w:p w14:paraId="468834BE" w14:textId="725C38E2" w:rsidR="00BA717D" w:rsidRDefault="00BA717D"/>
    <w:p w14:paraId="56FF2A77" w14:textId="160CF485" w:rsidR="00BA717D" w:rsidRDefault="00BA717D"/>
    <w:p w14:paraId="0A0D4B44" w14:textId="3B0D24FA" w:rsidR="00BA717D" w:rsidRDefault="00BA717D"/>
    <w:p w14:paraId="02506A48" w14:textId="620A0F5D" w:rsidR="00BA717D" w:rsidRDefault="00BA717D"/>
    <w:p w14:paraId="36FC605E" w14:textId="0B09D11D" w:rsidR="00BA717D" w:rsidRDefault="00BA717D"/>
    <w:p w14:paraId="12A80CA5" w14:textId="53F9D7E1" w:rsidR="00BA717D" w:rsidRDefault="00BA717D"/>
    <w:p w14:paraId="32DBA696" w14:textId="2F9285C9" w:rsidR="00BA717D" w:rsidRDefault="00BA717D"/>
    <w:p w14:paraId="232339D3" w14:textId="196E2A46" w:rsidR="00BA717D" w:rsidRDefault="00BA717D"/>
    <w:p w14:paraId="32587202" w14:textId="061A8182" w:rsidR="00BA717D" w:rsidRDefault="00BA717D"/>
    <w:p w14:paraId="41E71658" w14:textId="5950F7B2" w:rsidR="00BA717D" w:rsidRDefault="00BA717D"/>
    <w:p w14:paraId="123B5DAE" w14:textId="0A8592EA" w:rsidR="00BA717D" w:rsidRDefault="00BA717D"/>
    <w:p w14:paraId="4161BF0C" w14:textId="5DEB175C" w:rsidR="00BA717D" w:rsidRDefault="00BA717D"/>
    <w:p w14:paraId="1EEC02C2" w14:textId="5F329A40" w:rsidR="00BA717D" w:rsidRDefault="00BA717D"/>
    <w:p w14:paraId="335477EC" w14:textId="4A895713" w:rsidR="00BA717D" w:rsidRDefault="00BA717D"/>
    <w:p w14:paraId="11DE528A" w14:textId="19113B6C" w:rsidR="00BA717D" w:rsidRDefault="00BA717D"/>
    <w:p w14:paraId="4521560E" w14:textId="2AEF3D4A" w:rsidR="00BA717D" w:rsidRDefault="00BA717D"/>
    <w:p w14:paraId="370F106E" w14:textId="57F62FEA" w:rsidR="00BA717D" w:rsidRDefault="00BA717D"/>
    <w:p w14:paraId="1A9909B0" w14:textId="7C156B11" w:rsidR="00BA717D" w:rsidRDefault="00BA717D"/>
    <w:p w14:paraId="5CB96BFA" w14:textId="507038F3" w:rsidR="00BA717D" w:rsidRDefault="00BA717D"/>
    <w:p w14:paraId="7C45A807" w14:textId="174C0803" w:rsidR="00BA717D" w:rsidRDefault="00BA717D"/>
    <w:p w14:paraId="26C91347" w14:textId="0AF55C8B" w:rsidR="00BA717D" w:rsidRDefault="00BA717D"/>
    <w:p w14:paraId="178DE01C" w14:textId="77777777" w:rsidR="00BA717D" w:rsidRPr="004770D2" w:rsidRDefault="00BA717D" w:rsidP="00BA717D">
      <w:pPr>
        <w:pageBreakBefore/>
        <w:spacing w:before="100" w:beforeAutospacing="1"/>
        <w:rPr>
          <w:rFonts w:ascii="Gotham Condensed Book" w:hAnsi="Gotham Condensed Book" w:cs="Times New Roman"/>
          <w:sz w:val="20"/>
          <w:szCs w:val="20"/>
        </w:rPr>
      </w:pPr>
      <w:r w:rsidRPr="004770D2">
        <w:rPr>
          <w:rFonts w:ascii="Gotham Condensed Book" w:hAnsi="Gotham Condensed Book" w:cs="Times New Roman"/>
          <w:b/>
          <w:bCs/>
          <w:color w:val="000000"/>
          <w:sz w:val="44"/>
          <w:szCs w:val="44"/>
        </w:rPr>
        <w:lastRenderedPageBreak/>
        <w:t>Introduction</w:t>
      </w:r>
    </w:p>
    <w:p w14:paraId="38DB5562" w14:textId="31B2CFCC" w:rsidR="00BA717D" w:rsidRDefault="00BA717D" w:rsidP="00BA717D">
      <w:pPr>
        <w:spacing w:before="100" w:beforeAutospacing="1"/>
        <w:rPr>
          <w:rFonts w:ascii="Effra" w:hAnsi="Effra" w:cs="Times New Roman"/>
          <w:color w:val="000000"/>
          <w:sz w:val="22"/>
          <w:szCs w:val="22"/>
        </w:rPr>
      </w:pPr>
      <w:r>
        <w:rPr>
          <w:rFonts w:ascii="Effra" w:hAnsi="Effra" w:cs="Times New Roman"/>
          <w:color w:val="000000"/>
          <w:sz w:val="22"/>
          <w:szCs w:val="22"/>
        </w:rPr>
        <w:t xml:space="preserve">The purpose of this documentation is to provide </w:t>
      </w:r>
      <w:proofErr w:type="spellStart"/>
      <w:r>
        <w:rPr>
          <w:rFonts w:ascii="Effra" w:hAnsi="Effra" w:cs="Times New Roman"/>
          <w:color w:val="000000"/>
          <w:sz w:val="22"/>
          <w:szCs w:val="22"/>
        </w:rPr>
        <w:t>AssetLink</w:t>
      </w:r>
      <w:proofErr w:type="spellEnd"/>
      <w:r>
        <w:rPr>
          <w:rFonts w:ascii="Effra" w:hAnsi="Effra" w:cs="Times New Roman"/>
          <w:color w:val="000000"/>
          <w:sz w:val="22"/>
          <w:szCs w:val="22"/>
        </w:rPr>
        <w:t xml:space="preserve"> customers direction in setting up </w:t>
      </w:r>
      <w:proofErr w:type="spellStart"/>
      <w:r>
        <w:rPr>
          <w:rFonts w:ascii="Effra" w:hAnsi="Effra" w:cs="Times New Roman"/>
          <w:color w:val="000000"/>
          <w:sz w:val="22"/>
          <w:szCs w:val="22"/>
        </w:rPr>
        <w:t>AssetPack</w:t>
      </w:r>
      <w:proofErr w:type="spellEnd"/>
      <w:r>
        <w:rPr>
          <w:rFonts w:ascii="Effra" w:hAnsi="Effra" w:cs="Times New Roman"/>
          <w:color w:val="000000"/>
          <w:sz w:val="22"/>
          <w:szCs w:val="22"/>
        </w:rPr>
        <w:t xml:space="preserve"> devices on their own Iridium account.</w:t>
      </w:r>
    </w:p>
    <w:p w14:paraId="32C22772" w14:textId="46D1B0AD" w:rsidR="00BA717D" w:rsidRDefault="00BA717D" w:rsidP="00BA717D">
      <w:pPr>
        <w:spacing w:before="100" w:beforeAutospacing="1"/>
        <w:rPr>
          <w:rFonts w:ascii="Effra" w:hAnsi="Effra" w:cs="Times New Roman"/>
          <w:color w:val="000000"/>
          <w:sz w:val="22"/>
          <w:szCs w:val="22"/>
        </w:rPr>
      </w:pPr>
      <w:r>
        <w:rPr>
          <w:rFonts w:ascii="Effra" w:hAnsi="Effra" w:cs="Times New Roman"/>
          <w:color w:val="000000"/>
          <w:sz w:val="22"/>
          <w:szCs w:val="22"/>
        </w:rPr>
        <w:t xml:space="preserve">To set up an </w:t>
      </w:r>
      <w:proofErr w:type="spellStart"/>
      <w:r>
        <w:rPr>
          <w:rFonts w:ascii="Effra" w:hAnsi="Effra" w:cs="Times New Roman"/>
          <w:color w:val="000000"/>
          <w:sz w:val="22"/>
          <w:szCs w:val="22"/>
        </w:rPr>
        <w:t>AssetPack</w:t>
      </w:r>
      <w:proofErr w:type="spellEnd"/>
      <w:r>
        <w:rPr>
          <w:rFonts w:ascii="Effra" w:hAnsi="Effra" w:cs="Times New Roman"/>
          <w:color w:val="000000"/>
          <w:sz w:val="22"/>
          <w:szCs w:val="22"/>
        </w:rPr>
        <w:t xml:space="preserve"> on Iridium, on the SBD-&gt;Contract-&gt;New</w:t>
      </w:r>
      <w:r w:rsidR="002314B8">
        <w:rPr>
          <w:rFonts w:ascii="Effra" w:hAnsi="Effra" w:cs="Times New Roman"/>
          <w:color w:val="000000"/>
          <w:sz w:val="22"/>
          <w:szCs w:val="22"/>
        </w:rPr>
        <w:t xml:space="preserve"> page</w:t>
      </w:r>
      <w:r>
        <w:rPr>
          <w:rFonts w:ascii="Effra" w:hAnsi="Effra" w:cs="Times New Roman"/>
          <w:color w:val="000000"/>
          <w:sz w:val="22"/>
          <w:szCs w:val="22"/>
        </w:rPr>
        <w:t xml:space="preserve"> enter the values as follows:</w:t>
      </w:r>
    </w:p>
    <w:p w14:paraId="452931FC" w14:textId="77777777" w:rsidR="00BA717D" w:rsidRDefault="00BA717D" w:rsidP="00BA717D">
      <w:pPr>
        <w:spacing w:before="100" w:beforeAutospacing="1"/>
        <w:rPr>
          <w:rFonts w:ascii="Effra" w:hAnsi="Effra" w:cs="Times New Roman"/>
          <w:color w:val="000000"/>
          <w:sz w:val="22"/>
          <w:szCs w:val="22"/>
        </w:rPr>
      </w:pPr>
    </w:p>
    <w:p w14:paraId="302BB169" w14:textId="77777777" w:rsidR="00BA717D" w:rsidRDefault="00BA717D" w:rsidP="00BA717D">
      <w:pPr>
        <w:rPr>
          <w:rFonts w:eastAsiaTheme="minorHAnsi"/>
          <w:sz w:val="22"/>
          <w:szCs w:val="22"/>
        </w:rPr>
      </w:pPr>
      <w:r w:rsidRPr="00BA717D">
        <w:rPr>
          <w:b/>
        </w:rPr>
        <w:t>Destination:</w:t>
      </w:r>
      <w:r>
        <w:t xml:space="preserve"> mapdata.assetlinkglobal.com:6699</w:t>
      </w:r>
    </w:p>
    <w:p w14:paraId="1741D02E" w14:textId="77777777" w:rsidR="00BA717D" w:rsidRDefault="00BA717D" w:rsidP="00BA717D">
      <w:r w:rsidRPr="00BA717D">
        <w:rPr>
          <w:b/>
        </w:rPr>
        <w:t>Ring Alerts:</w:t>
      </w:r>
      <w:r>
        <w:t xml:space="preserve"> “Yes”</w:t>
      </w:r>
    </w:p>
    <w:p w14:paraId="52DC2FAE" w14:textId="77777777" w:rsidR="00BA717D" w:rsidRDefault="00BA717D" w:rsidP="00BA717D">
      <w:r w:rsidRPr="00BA717D">
        <w:rPr>
          <w:b/>
        </w:rPr>
        <w:t>Method:</w:t>
      </w:r>
      <w:r>
        <w:t xml:space="preserve"> “Direct IP”</w:t>
      </w:r>
    </w:p>
    <w:p w14:paraId="641DFE2D" w14:textId="77777777" w:rsidR="00BA717D" w:rsidRDefault="00BA717D" w:rsidP="00BA717D">
      <w:r w:rsidRPr="00BA717D">
        <w:rPr>
          <w:b/>
        </w:rPr>
        <w:t>Include Geo Data:</w:t>
      </w:r>
      <w:r>
        <w:t xml:space="preserve"> “Checked”</w:t>
      </w:r>
    </w:p>
    <w:p w14:paraId="6DACE7A0" w14:textId="77777777" w:rsidR="00BA717D" w:rsidRDefault="00BA717D" w:rsidP="00BA717D">
      <w:r w:rsidRPr="00BA717D">
        <w:rPr>
          <w:b/>
        </w:rPr>
        <w:t>MO ACK:</w:t>
      </w:r>
      <w:r>
        <w:t xml:space="preserve"> “Checked”</w:t>
      </w:r>
    </w:p>
    <w:p w14:paraId="2F6CEFA4" w14:textId="6FD18660" w:rsidR="00BA717D" w:rsidRDefault="00BA717D" w:rsidP="00BA717D">
      <w:pPr>
        <w:spacing w:before="100" w:beforeAutospacing="1"/>
        <w:rPr>
          <w:rFonts w:ascii="Effra" w:hAnsi="Effra" w:cs="Times New Roman"/>
          <w:color w:val="000000"/>
          <w:sz w:val="22"/>
          <w:szCs w:val="22"/>
        </w:rPr>
      </w:pPr>
      <w:r>
        <w:rPr>
          <w:rFonts w:ascii="Effra" w:hAnsi="Effra" w:cs="Times New Roman"/>
          <w:color w:val="000000"/>
          <w:sz w:val="22"/>
          <w:szCs w:val="22"/>
        </w:rPr>
        <w:t xml:space="preserve">All other values are specific to the </w:t>
      </w:r>
      <w:proofErr w:type="spellStart"/>
      <w:r>
        <w:rPr>
          <w:rFonts w:ascii="Effra" w:hAnsi="Effra" w:cs="Times New Roman"/>
          <w:color w:val="000000"/>
          <w:sz w:val="22"/>
          <w:szCs w:val="22"/>
        </w:rPr>
        <w:t>AssetLink</w:t>
      </w:r>
      <w:proofErr w:type="spellEnd"/>
      <w:r>
        <w:rPr>
          <w:rFonts w:ascii="Effra" w:hAnsi="Effra" w:cs="Times New Roman"/>
          <w:color w:val="000000"/>
          <w:sz w:val="22"/>
          <w:szCs w:val="22"/>
        </w:rPr>
        <w:t xml:space="preserve"> customer’s Iridium account.</w:t>
      </w:r>
    </w:p>
    <w:p w14:paraId="01EBFA7F" w14:textId="541D02B1" w:rsidR="00BA717D" w:rsidRDefault="00BA717D"/>
    <w:p w14:paraId="2AFC9645" w14:textId="31AA894E" w:rsidR="00BA717D" w:rsidRDefault="00BA717D" w:rsidP="00BA717D">
      <w:pPr>
        <w:rPr>
          <w:rStyle w:val="ms-rtefontsize-3"/>
        </w:rPr>
      </w:pPr>
      <w:r>
        <w:t xml:space="preserve">Once the </w:t>
      </w:r>
      <w:proofErr w:type="spellStart"/>
      <w:r>
        <w:rPr>
          <w:rStyle w:val="ms-rtefontsize-3"/>
        </w:rPr>
        <w:t>AssetPack</w:t>
      </w:r>
      <w:proofErr w:type="spellEnd"/>
      <w:r>
        <w:rPr>
          <w:rStyle w:val="ms-rtefontsize-3"/>
        </w:rPr>
        <w:t xml:space="preserve"> is set up on Iridium and turned on in a location it can see the sky, it will start reporting and data will flow into the </w:t>
      </w:r>
      <w:proofErr w:type="spellStart"/>
      <w:r>
        <w:rPr>
          <w:rStyle w:val="ms-rtefontsize-3"/>
        </w:rPr>
        <w:t>AssetLink</w:t>
      </w:r>
      <w:proofErr w:type="spellEnd"/>
      <w:r>
        <w:rPr>
          <w:rStyle w:val="ms-rtefontsize-3"/>
        </w:rPr>
        <w:t xml:space="preserve"> Device Manager.  The reporting schedule for the device will be as per the schedule it was programed with prior to shipment.</w:t>
      </w:r>
    </w:p>
    <w:p w14:paraId="2F3BF6BD" w14:textId="33F2FEAC" w:rsidR="00BA717D" w:rsidRDefault="00BA717D" w:rsidP="00BA717D">
      <w:pPr>
        <w:rPr>
          <w:rStyle w:val="ms-rtefontsize-3"/>
        </w:rPr>
      </w:pPr>
    </w:p>
    <w:p w14:paraId="0C20DFE2" w14:textId="42B69D11" w:rsidR="00BA717D" w:rsidRDefault="00BA717D" w:rsidP="00BA717D">
      <w:pPr>
        <w:rPr>
          <w:rStyle w:val="ms-rtefontsize-3"/>
          <w:rFonts w:eastAsiaTheme="minorHAnsi"/>
          <w:sz w:val="22"/>
          <w:szCs w:val="22"/>
        </w:rPr>
      </w:pPr>
      <w:r>
        <w:rPr>
          <w:rStyle w:val="ms-rtefontsize-3"/>
        </w:rPr>
        <w:t xml:space="preserve">Example </w:t>
      </w:r>
      <w:proofErr w:type="spellStart"/>
      <w:r>
        <w:rPr>
          <w:rStyle w:val="ms-rtefontsize-3"/>
        </w:rPr>
        <w:t>AssetPack</w:t>
      </w:r>
      <w:proofErr w:type="spellEnd"/>
      <w:r>
        <w:rPr>
          <w:rStyle w:val="ms-rtefontsize-3"/>
        </w:rPr>
        <w:t xml:space="preserve"> configuration on the Iridium </w:t>
      </w:r>
      <w:r>
        <w:rPr>
          <w:rFonts w:ascii="Effra" w:hAnsi="Effra" w:cs="Times New Roman"/>
          <w:color w:val="000000"/>
          <w:sz w:val="22"/>
          <w:szCs w:val="22"/>
        </w:rPr>
        <w:t>SBD-&gt;Contract-&gt;New page.</w:t>
      </w:r>
    </w:p>
    <w:p w14:paraId="77FD16D7" w14:textId="08583352" w:rsidR="00BA717D" w:rsidRDefault="00BA717D">
      <w:r>
        <w:rPr>
          <w:noProof/>
        </w:rPr>
        <w:drawing>
          <wp:inline distT="0" distB="0" distL="0" distR="0" wp14:anchorId="25040288" wp14:editId="2D329926">
            <wp:extent cx="5943600" cy="2302510"/>
            <wp:effectExtent l="0" t="0" r="0" b="2540"/>
            <wp:docPr id="2" name="Picture 2" descr="cid:image001.png@01D4CF74.73C71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CF74.73C7159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C741A" w14:textId="77777777" w:rsidR="00BA717D" w:rsidRDefault="00BA717D"/>
    <w:sectPr w:rsidR="00BA7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Condensed Book">
    <w:altName w:val="Calibri"/>
    <w:charset w:val="00"/>
    <w:family w:val="auto"/>
    <w:pitch w:val="variable"/>
    <w:sig w:usb0="A000007F" w:usb1="4000004A" w:usb2="00000000" w:usb3="00000000" w:csb0="0000009B" w:csb1="00000000"/>
  </w:font>
  <w:font w:name="Sawasdee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Effra">
    <w:altName w:val="Calibri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1E"/>
    <w:rsid w:val="000F4FC6"/>
    <w:rsid w:val="001B5D16"/>
    <w:rsid w:val="002314B8"/>
    <w:rsid w:val="0029611E"/>
    <w:rsid w:val="003407A6"/>
    <w:rsid w:val="00362212"/>
    <w:rsid w:val="00BA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06B7"/>
  <w15:chartTrackingRefBased/>
  <w15:docId w15:val="{0B45D74B-BD70-4BB6-AACE-8D62E981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11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-rtefontsize-3">
    <w:name w:val="ms-rtefontsize-3"/>
    <w:basedOn w:val="DefaultParagraphFont"/>
    <w:rsid w:val="00BA7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9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mailto:service@assetlinkglob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ssetlinkglobal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cid:image001.png@01D4CF74.73C715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Beardsley</dc:creator>
  <cp:keywords/>
  <dc:description/>
  <cp:lastModifiedBy>Jim Beardsley</cp:lastModifiedBy>
  <cp:revision>6</cp:revision>
  <dcterms:created xsi:type="dcterms:W3CDTF">2019-03-10T19:09:00Z</dcterms:created>
  <dcterms:modified xsi:type="dcterms:W3CDTF">2020-02-28T00:10:00Z</dcterms:modified>
</cp:coreProperties>
</file>