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B3F"/>
          <w:sz w:val="44"/>
          <w:szCs w:val="44"/>
        </w:rPr>
        <w:t xml:space="preserve">Problem Statement</w:t>
      </w:r>
    </w:p>
    <w:p>
      <w:pPr>
        <w:spacing w:after="40"/>
        <w:jc w:val="center"/>
      </w:pPr>
      <w:r>
        <w:rPr>
          <w:color w:val="595959"/>
          <w:sz w:val="26"/>
          <w:szCs w:val="26"/>
        </w:rPr>
        <w:t xml:space="preserve">Digitizing Household-Visit and Referral Tracking for Kenya's Community Health Promoters</w:t>
      </w:r>
    </w:p>
    <w:p>
      <w:pPr>
        <w:spacing w:after="320"/>
        <w:jc w:val="center"/>
      </w:pPr>
      <w:r>
        <w:rPr>
          <w:i/>
          <w:iCs/>
          <w:color w:val="595959"/>
          <w:sz w:val="20"/>
          <w:szCs w:val="20"/>
        </w:rPr>
        <w:t xml:space="preserve">CHP Companion — Summative Group Lab (Python OOP CLI Application)</w:t>
      </w:r>
    </w:p>
    <w:p>
      <w:pPr>
        <w:pStyle w:val="Heading1"/>
        <w:spacing w:after="160" w:before="320"/>
      </w:pPr>
      <w:r>
        <w:rPr>
          <w:b/>
          <w:bCs/>
          <w:color w:val="1F4B3F"/>
          <w:sz w:val="28"/>
          <w:szCs w:val="28"/>
        </w:rPr>
        <w:t xml:space="preserve">1. Background</w:t>
      </w:r>
    </w:p>
    <w:p>
      <w:pPr>
        <w:spacing w:after="160" w:line="300"/>
      </w:pPr>
      <w:r>
        <w:rPr>
          <w:sz w:val="22"/>
          <w:szCs w:val="22"/>
        </w:rPr>
        <w:t xml:space="preserve">Kenya's community-level health workforce, formerly called Community Health Volunteers (CHVs), was renamed Community Health Promoters (CHPs) and formally professionalized starting in 2023 under the Bottom-Up Economic Transformation Agenda (BETA) and the push toward Universal Health Coverage (UHC). As of the Kenya National Bureau of Statistics (KNBS) Economic Survey 2025, Kenya has 107,831 CHPs deployed across all 47 counties — up from 101,100 in 2022 — organized into roughly 10,000 Community Health Units, each covering about 100 households per CHP [1][2].</w:t>
      </w:r>
    </w:p>
    <w:p>
      <w:pPr>
        <w:spacing w:after="160" w:line="300"/>
      </w:pPr>
      <w:r>
        <w:rPr>
          <w:sz w:val="22"/>
          <w:szCs w:val="22"/>
        </w:rPr>
        <w:t xml:space="preserve">CHPs are the first point of contact for an estimated 50 million Kenyans across roughly 10 million households, particularly in rural and peri-urban areas where the nearest formal health facility may be far away or overstretched [3]. Ten CHPs in a Community Health Unit are supervised by one Government-employed Community Health Assistant (CHA); each CHP is expected to work about two hours a day, eight days a month, visiting their assigned 100 households on a quarterly cycle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00"/>
            <w:tcBorders>
              <w:top w:val="single" w:color="D9A441" w:sz="2"/>
              <w:left w:val="single" w:color="D9A441" w:sz="2"/>
              <w:bottom w:val="single" w:color="D9A441" w:sz="2"/>
              <w:right w:val="single" w:color="D9A441" w:sz="2"/>
            </w:tcBorders>
            <w:shd w:fill="F1EFE6" w:val="clear"/>
            <w:tcMar>
              <w:top w:type="dxa" w:w="160"/>
              <w:left w:type="dxa" w:w="160"/>
              <w:bottom w:type="dxa" w:w="160"/>
              <w:right w:type="dxa" w:w="160"/>
            </w:tcMar>
          </w:tcPr>
          <w:p>
            <w:pPr>
              <w:spacing w:after="60"/>
              <w:jc w:val="center"/>
            </w:pPr>
            <w:r>
              <w:rPr>
                <w:b/>
                <w:bCs/>
                <w:color w:val="C1443D"/>
                <w:sz w:val="36"/>
                <w:szCs w:val="36"/>
              </w:rPr>
              <w:t xml:space="preserve">107,831</w:t>
            </w:r>
          </w:p>
          <w:p>
            <w:pPr>
              <w:jc w:val="center"/>
            </w:pPr>
            <w:r>
              <w:rPr>
                <w:color w:val="595959"/>
                <w:sz w:val="18"/>
                <w:szCs w:val="18"/>
              </w:rPr>
              <w:t xml:space="preserve">CHPs deployed nationwide, all 47 counties (KNBS, 2025) [1]</w:t>
            </w:r>
          </w:p>
        </w:tc>
        <w:tc>
          <w:tcPr>
            <w:tcW w:type="dxa" w:w="3100"/>
            <w:tcBorders>
              <w:top w:val="single" w:color="D9A441" w:sz="2"/>
              <w:left w:val="single" w:color="D9A441" w:sz="2"/>
              <w:bottom w:val="single" w:color="D9A441" w:sz="2"/>
              <w:right w:val="single" w:color="D9A441" w:sz="2"/>
            </w:tcBorders>
            <w:shd w:fill="F1EFE6" w:val="clear"/>
            <w:tcMar>
              <w:top w:type="dxa" w:w="160"/>
              <w:left w:type="dxa" w:w="160"/>
              <w:bottom w:type="dxa" w:w="160"/>
              <w:right w:type="dxa" w:w="160"/>
            </w:tcMar>
          </w:tcPr>
          <w:p>
            <w:pPr>
              <w:spacing w:after="60"/>
              <w:jc w:val="center"/>
            </w:pPr>
            <w:r>
              <w:rPr>
                <w:b/>
                <w:bCs/>
                <w:color w:val="C1443D"/>
                <w:sz w:val="36"/>
                <w:szCs w:val="36"/>
              </w:rPr>
              <w:t xml:space="preserve">1 : 100</w:t>
            </w:r>
          </w:p>
          <w:p>
            <w:pPr>
              <w:jc w:val="center"/>
            </w:pPr>
            <w:r>
              <w:rPr>
                <w:color w:val="595959"/>
                <w:sz w:val="18"/>
                <w:szCs w:val="18"/>
              </w:rPr>
              <w:t xml:space="preserve">Ratio of CHPs to households in a Community Health Unit [4]</w:t>
            </w:r>
          </w:p>
        </w:tc>
        <w:tc>
          <w:tcPr>
            <w:tcW w:type="dxa" w:w="3100"/>
            <w:tcBorders>
              <w:top w:val="single" w:color="D9A441" w:sz="2"/>
              <w:left w:val="single" w:color="D9A441" w:sz="2"/>
              <w:bottom w:val="single" w:color="D9A441" w:sz="2"/>
              <w:right w:val="single" w:color="D9A441" w:sz="2"/>
            </w:tcBorders>
            <w:shd w:fill="F1EFE6" w:val="clear"/>
            <w:tcMar>
              <w:top w:type="dxa" w:w="160"/>
              <w:left w:type="dxa" w:w="160"/>
              <w:bottom w:type="dxa" w:w="160"/>
              <w:right w:type="dxa" w:w="160"/>
            </w:tcMar>
          </w:tcPr>
          <w:p>
            <w:pPr>
              <w:spacing w:after="60"/>
              <w:jc w:val="center"/>
            </w:pPr>
            <w:r>
              <w:rPr>
                <w:b/>
                <w:bCs/>
                <w:color w:val="C1443D"/>
                <w:sz w:val="36"/>
                <w:szCs w:val="36"/>
              </w:rPr>
              <w:t xml:space="preserve">~10,000</w:t>
            </w:r>
          </w:p>
          <w:p>
            <w:pPr>
              <w:jc w:val="center"/>
            </w:pPr>
            <w:r>
              <w:rPr>
                <w:color w:val="595959"/>
                <w:sz w:val="18"/>
                <w:szCs w:val="18"/>
              </w:rPr>
              <w:t xml:space="preserve">Community Health Units nationwide [3]</w:t>
            </w:r>
          </w:p>
        </w:tc>
      </w:tr>
    </w:tbl>
    <w:p>
      <w:pPr>
        <w:spacing w:after="240"/>
      </w:pPr>
    </w:p>
    <w:p>
      <w:pPr>
        <w:pStyle w:val="Heading1"/>
        <w:spacing w:after="160" w:before="320"/>
      </w:pPr>
      <w:r>
        <w:rPr>
          <w:b/>
          <w:bCs/>
          <w:color w:val="1F4B3F"/>
          <w:sz w:val="28"/>
          <w:szCs w:val="28"/>
        </w:rPr>
        <w:t xml:space="preserve">2. The Problem</w:t>
      </w:r>
    </w:p>
    <w:p>
      <w:pPr>
        <w:spacing w:after="160" w:line="300"/>
      </w:pPr>
      <w:r>
        <w:rPr>
          <w:sz w:val="22"/>
          <w:szCs w:val="22"/>
        </w:rPr>
        <w:t xml:space="preserve">Since 2020, Kenya has been building a national digital tool for this workforce — the electronic Community Health Information System (eCHIS) — piloted in Kisumu County in 2021 and scaled nationally from August 2023, reaching all 47 counties by mid-2025 [5]. This is real, significant progress. However, independent evaluations and implementing partners report that adoption on the ground remains uneven:</w:t>
      </w:r>
    </w:p>
    <w:p>
      <w:pPr>
        <w:pStyle w:val="ListParagraph"/>
        <w:numPr>
          <w:ilvl w:val="0"/>
          <w:numId w:val="2"/>
        </w:numPr>
        <w:spacing w:after="90" w:line="280"/>
      </w:pPr>
      <w:r>
        <w:rPr>
          <w:b/>
          <w:bCs/>
          <w:sz w:val="22"/>
          <w:szCs w:val="22"/>
        </w:rPr>
        <w:t xml:space="preserve">Connectivity and infrastructure gaps: </w:t>
      </w:r>
      <w:r>
        <w:rPr>
          <w:sz w:val="22"/>
          <w:szCs w:val="22"/>
        </w:rPr>
        <w:t xml:space="preserve">a 2026 mixed-methods study surveying 883 CHPs and 442 Community Health Assistants across all 47 counties found only 23% of CHPs reported consistent digital connectivity, and 67% reported real-time data-transmission challenges — meaning most CHPs cannot reliably sync what they record [6].</w:t>
      </w:r>
    </w:p>
    <w:p>
      <w:pPr>
        <w:pStyle w:val="ListParagraph"/>
        <w:numPr>
          <w:ilvl w:val="0"/>
          <w:numId w:val="2"/>
        </w:numPr>
        <w:spacing w:after="90" w:line="280"/>
      </w:pPr>
      <w:r>
        <w:rPr>
          <w:b/>
          <w:bCs/>
          <w:sz w:val="22"/>
          <w:szCs w:val="22"/>
        </w:rPr>
        <w:t xml:space="preserve">Reversion to paper: </w:t>
      </w:r>
      <w:r>
        <w:rPr>
          <w:sz w:val="22"/>
          <w:szCs w:val="22"/>
        </w:rPr>
        <w:t xml:space="preserve">implementing partners including Living Goods report CHPs reverting to paper-based tools after eCHIS rollout, citing technical and infrastructure barriers — the exact failure mode a purely server-dependent tool creates [5].</w:t>
      </w:r>
    </w:p>
    <w:p>
      <w:pPr>
        <w:pStyle w:val="ListParagraph"/>
        <w:numPr>
          <w:ilvl w:val="0"/>
          <w:numId w:val="2"/>
        </w:numPr>
        <w:spacing w:after="90" w:line="280"/>
      </w:pPr>
      <w:r>
        <w:rPr>
          <w:b/>
          <w:bCs/>
          <w:sz w:val="22"/>
          <w:szCs w:val="22"/>
        </w:rPr>
        <w:t xml:space="preserve">Referral tracking gaps at the county level: </w:t>
      </w:r>
      <w:r>
        <w:rPr>
          <w:sz w:val="22"/>
          <w:szCs w:val="22"/>
        </w:rPr>
        <w:t xml:space="preserve">the same 47-county study found only 45.7% of counties had established formal referral-and-feedback linkage systems between CHPs and facility-based health workers — meaning in more than half of counties, there is no standard mechanism to confirm a referral was ever received or acted on [6].</w:t>
      </w:r>
    </w:p>
    <w:p>
      <w:pPr>
        <w:pStyle w:val="ListParagraph"/>
        <w:numPr>
          <w:ilvl w:val="0"/>
          <w:numId w:val="2"/>
        </w:numPr>
        <w:spacing w:after="90" w:line="280"/>
      </w:pPr>
      <w:r>
        <w:rPr>
          <w:b/>
          <w:bCs/>
          <w:sz w:val="22"/>
          <w:szCs w:val="22"/>
        </w:rPr>
        <w:t xml:space="preserve">Training gaps: </w:t>
      </w:r>
      <w:r>
        <w:rPr>
          <w:sz w:val="22"/>
          <w:szCs w:val="22"/>
        </w:rPr>
        <w:t xml:space="preserve">as of January 2024, Kenya's Division of Community Health identified a gap of 28,000 CHPs not yet trained on the basic mobile/eCHIS module, out of roughly 107,000 nationally — over a quarter of the workforce [7].</w:t>
      </w:r>
    </w:p>
    <w:p>
      <w:pPr>
        <w:spacing w:after="160" w:line="300"/>
      </w:pPr>
      <w:r>
        <w:rPr>
          <w:sz w:val="22"/>
          <w:szCs w:val="22"/>
        </w:rPr>
        <w:t xml:space="preserve">The consequence of these gaps is measurable, not hypothetical. A mixed-methods study of the community referral system in Endebess sub-county (Trans Nzoia County) tracked 112 caregivers referred by Community Health Volunteers to hospital: only 17% of referral forms were ever filed at the receiving hospital, and just 52.6% of the referred children could be found recorded in the hospital's own service delivery logbook [8]. In other words, roughly half of the referrals a frontline health worker made could not be confirmed as ever reaching the facility's records — the referral was effectively lost between the household and the facility.</w:t>
      </w:r>
    </w:p>
    <w:p>
      <w:pPr>
        <w:spacing w:after="160" w:line="300"/>
      </w:pPr>
      <w:r>
        <w:rPr>
          <w:sz w:val="22"/>
          <w:szCs w:val="22"/>
        </w:rPr>
        <w:t xml:space="preserve">At the same time, referral volumes are large enough that this cannot be tracked by memory or informal notes. In Nairobi County alone, 7,480 CHPs had referred nearly 30,000 patients for further management as of mid-2026, alongside registering over 810,000 households on eCHIS [9]. A Supervisor overseeing even a fraction of that caseload has no practical way to know, from paper registers alone, which referrals are still open.</w:t>
      </w:r>
    </w:p>
    <w:p>
      <w:pPr>
        <w:pStyle w:val="Heading1"/>
        <w:spacing w:after="160" w:before="320"/>
      </w:pPr>
      <w:r>
        <w:rPr>
          <w:b/>
          <w:bCs/>
          <w:color w:val="1F4B3F"/>
          <w:sz w:val="28"/>
          <w:szCs w:val="28"/>
        </w:rPr>
        <w:t xml:space="preserve">3.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B3F" w:sz="4"/>
              <w:left w:val="single" w:color="1F4B3F" w:sz="4"/>
              <w:bottom w:val="single" w:color="1F4B3F" w:sz="4"/>
              <w:right w:val="single" w:color="1F4B3F" w:sz="4"/>
            </w:tcBorders>
            <w:shd w:fill="F1EFE6" w:val="clear"/>
            <w:tcMar>
              <w:top w:type="dxa" w:w="200"/>
              <w:left w:type="dxa" w:w="240"/>
              <w:bottom w:type="dxa" w:w="200"/>
              <w:right w:type="dxa" w:w="240"/>
            </w:tcMar>
          </w:tcPr>
          <w:p>
            <w:pPr>
              <w:spacing w:line="300"/>
            </w:pPr>
            <w:r>
              <w:rPr>
                <w:b/>
                <w:bCs/>
                <w:color w:val="1A1A1A"/>
                <w:sz w:val="22"/>
                <w:szCs w:val="22"/>
              </w:rPr>
              <w:t xml:space="preserve">Even where Kenya's national eCHIS platform is deployed, documented connectivity, training, and county-level referral-linkage gaps mean a CHP's Supervisor often cannot reliably see which households are overdue for a visit or confirm whether a flagged referral was ever resolved. There is a need for a lightweight, offline-capable record of household visits and referral status that works reliably at the CHP-and-Supervisor level, independent of network connectivity, and that can complement (not replace) the national system.</w:t>
            </w:r>
          </w:p>
        </w:tc>
      </w:tr>
    </w:tbl>
    <w:p>
      <w:pPr>
        <w:spacing w:after="240"/>
      </w:pPr>
    </w:p>
    <w:p>
      <w:pPr>
        <w:pStyle w:val="Heading1"/>
        <w:spacing w:after="160" w:before="320"/>
      </w:pPr>
      <w:r>
        <w:rPr>
          <w:b/>
          <w:bCs/>
          <w:color w:val="1F4B3F"/>
          <w:sz w:val="28"/>
          <w:szCs w:val="28"/>
        </w:rPr>
        <w:t xml:space="preserve">4. Scope of This Project</w:t>
      </w:r>
    </w:p>
    <w:p>
      <w:pPr>
        <w:spacing w:after="160" w:line="300"/>
      </w:pPr>
      <w:r>
        <w:rPr>
          <w:i/>
          <w:iCs/>
          <w:sz w:val="22"/>
          <w:szCs w:val="22"/>
        </w:rPr>
        <w:t xml:space="preserve">CHP Companion, the CLI tool built for this lab, is a small-scale, offline, local simulation of the specific pain point described above — household-visit tracking and referral-status tracking between a CHP and a Supervisor — not a production replacement for eCHIS or Kenya's national health information infrastructure. It is intended to demonstrate, in miniature, what a connectivity-independent, always-available record of “who was visited” and “is this referral resolved” could look like, grounded in a real and currently documented operational gap rather than an invented scenario.</w:t>
      </w:r>
    </w:p>
    <w:p>
      <w:pPr>
        <w:pStyle w:val="Heading1"/>
        <w:spacing w:after="160" w:before="320"/>
      </w:pPr>
      <w:r>
        <w:rPr>
          <w:b/>
          <w:bCs/>
          <w:color w:val="1F4B3F"/>
          <w:sz w:val="28"/>
          <w:szCs w:val="28"/>
        </w:rPr>
        <w:t xml:space="preserve">References</w:t>
      </w:r>
    </w:p>
    <w:p>
      <w:pPr>
        <w:spacing w:after="140" w:line="260"/>
        <w:ind w:left="431" w:hanging="431"/>
      </w:pPr>
      <w:r>
        <w:rPr>
          <w:b/>
          <w:bCs/>
          <w:sz w:val="20"/>
          <w:szCs w:val="20"/>
        </w:rPr>
        <w:t xml:space="preserve">[1] </w:t>
      </w:r>
      <w:r>
        <w:rPr>
          <w:sz w:val="20"/>
          <w:szCs w:val="20"/>
        </w:rPr>
        <w:t xml:space="preserve">Kenya National Bureau of Statistics, Economic Survey 2025, cited in “Ruto@4: Primary healthcare — Has care moved closer to households?” The Star, 27 Aug 2026. https://www.the-star.co.ke/news/2026-08-27-ruto-at-4-primary-healthcare-has-care-moved-closer-to-households</w:t>
      </w:r>
    </w:p>
    <w:p>
      <w:pPr>
        <w:spacing w:after="140" w:line="260"/>
        <w:ind w:left="431" w:hanging="431"/>
      </w:pPr>
      <w:r>
        <w:rPr>
          <w:b/>
          <w:bCs/>
          <w:sz w:val="20"/>
          <w:szCs w:val="20"/>
        </w:rPr>
        <w:t xml:space="preserve">[2] </w:t>
      </w:r>
      <w:r>
        <w:rPr>
          <w:sz w:val="20"/>
          <w:szCs w:val="20"/>
        </w:rPr>
        <w:t xml:space="preserve">Ministry of Health, Kenya, “Nationwide Capacity Building for Community Health Promoters,” 4 June 2024. https://www.health.go.ke/nationwide-capacity-building-community-health-promoters</w:t>
      </w:r>
    </w:p>
    <w:p>
      <w:pPr>
        <w:spacing w:after="140" w:line="260"/>
        <w:ind w:left="431" w:hanging="431"/>
      </w:pPr>
      <w:r>
        <w:rPr>
          <w:b/>
          <w:bCs/>
          <w:sz w:val="20"/>
          <w:szCs w:val="20"/>
        </w:rPr>
        <w:t xml:space="preserve">[3] </w:t>
      </w:r>
      <w:r>
        <w:rPr>
          <w:sz w:val="20"/>
          <w:szCs w:val="20"/>
        </w:rPr>
        <w:t xml:space="preserve">Ministry of Health, Kenya, “Kenya's Bold Step Towards Universal Health Coverage: Unveiling Community Health Promoter Kits.” https://www.health.go.ke/kenyas-bold-step-towards-universal-health-coverage-unveiling-community-health-promoter-kits</w:t>
      </w:r>
    </w:p>
    <w:p>
      <w:pPr>
        <w:spacing w:after="140" w:line="260"/>
        <w:ind w:left="431" w:hanging="431"/>
      </w:pPr>
      <w:r>
        <w:rPr>
          <w:b/>
          <w:bCs/>
          <w:sz w:val="20"/>
          <w:szCs w:val="20"/>
        </w:rPr>
        <w:t xml:space="preserve">[4] </w:t>
      </w:r>
      <w:r>
        <w:rPr>
          <w:sz w:val="20"/>
          <w:szCs w:val="20"/>
        </w:rPr>
        <w:t xml:space="preserve">“You are just like them: The paradoxical position of Nairobi's community health promoters,” a photovoice study, ScienceDirect, 29 Mar 2025 (citing Ogutu et al., 2023). https://www.sciencedirect.com/science/article/pii/S2949856225000200</w:t>
      </w:r>
    </w:p>
    <w:p>
      <w:pPr>
        <w:spacing w:after="140" w:line="260"/>
        <w:ind w:left="431" w:hanging="431"/>
      </w:pPr>
      <w:r>
        <w:rPr>
          <w:b/>
          <w:bCs/>
          <w:sz w:val="20"/>
          <w:szCs w:val="20"/>
        </w:rPr>
        <w:t xml:space="preserve">[5] </w:t>
      </w:r>
      <w:r>
        <w:rPr>
          <w:sz w:val="20"/>
          <w:szCs w:val="20"/>
        </w:rPr>
        <w:t xml:space="preserve">“Implementation process and acceptability of the electronic community health information system among community health workers in Kenya,” Frontiers in Health Services, 22 May 2026. https://www.frontiersin.org/journals/health-services/articles/10.3389/frhs.2026.1818937/full</w:t>
      </w:r>
    </w:p>
    <w:p>
      <w:pPr>
        <w:spacing w:after="140" w:line="260"/>
        <w:ind w:left="431" w:hanging="431"/>
      </w:pPr>
      <w:r>
        <w:rPr>
          <w:b/>
          <w:bCs/>
          <w:sz w:val="20"/>
          <w:szCs w:val="20"/>
        </w:rPr>
        <w:t xml:space="preserve">[6] </w:t>
      </w:r>
      <w:r>
        <w:rPr>
          <w:sz w:val="20"/>
          <w:szCs w:val="20"/>
        </w:rPr>
        <w:t xml:space="preserve">Kanyaru, J., Njeru, M., Muli, B., &amp; Micheni, R., “Impact of Community Health Promoters on Kenya's Devolved Healthcare: Mixed-Methods Analysis of 47 Counties,” Research Square preprint (not yet peer-reviewed), posted 27 Feb 2026. DOI: 10.21203/rs.3.rs-8732386/v1. https://www.researchsquare.com/article/rs-8732386/v1.pdf</w:t>
      </w:r>
    </w:p>
    <w:p>
      <w:pPr>
        <w:spacing w:after="140" w:line="260"/>
        <w:ind w:left="431" w:hanging="431"/>
      </w:pPr>
      <w:r>
        <w:rPr>
          <w:b/>
          <w:bCs/>
          <w:sz w:val="20"/>
          <w:szCs w:val="20"/>
        </w:rPr>
        <w:t xml:space="preserve">[7] </w:t>
      </w:r>
      <w:r>
        <w:rPr>
          <w:sz w:val="20"/>
          <w:szCs w:val="20"/>
        </w:rPr>
        <w:t xml:space="preserve">chu4uhc.org, “Revamping Community Health: Advanced Training and Supervision of Community Health Promoters,” 8 June 2024. https://chu4uhc.org/revamping-community-health-advanced-training-and-supervision-of-community-health-promoters/</w:t>
      </w:r>
    </w:p>
    <w:p>
      <w:pPr>
        <w:spacing w:after="140" w:line="260"/>
        <w:ind w:left="431" w:hanging="431"/>
      </w:pPr>
      <w:r>
        <w:rPr>
          <w:b/>
          <w:bCs/>
          <w:sz w:val="20"/>
          <w:szCs w:val="20"/>
        </w:rPr>
        <w:t xml:space="preserve">[8] </w:t>
      </w:r>
      <w:r>
        <w:rPr>
          <w:sz w:val="20"/>
          <w:szCs w:val="20"/>
        </w:rPr>
        <w:t xml:space="preserve">“Community referral system influencing caregiver health-seeking for childhood pneumonia in Endebess sub-county, Kenya,” African Journal of Primary Health Care, PMC, 14 May 2025. https://www.ncbi.nlm.nih.gov/pmc/articles/PMC12135120/</w:t>
      </w:r>
    </w:p>
    <w:p>
      <w:pPr>
        <w:spacing w:after="140" w:line="260"/>
        <w:ind w:left="431" w:hanging="431"/>
      </w:pPr>
      <w:r>
        <w:rPr>
          <w:b/>
          <w:bCs/>
          <w:sz w:val="20"/>
          <w:szCs w:val="20"/>
        </w:rPr>
        <w:t xml:space="preserve">[9] </w:t>
      </w:r>
      <w:r>
        <w:rPr>
          <w:sz w:val="20"/>
          <w:szCs w:val="20"/>
        </w:rPr>
        <w:t xml:space="preserve">“Ruto@4: Primary healthcare — Has care moved closer to households?” The Star, 27 Aug 2026 (Nairobi County eCHIS figures). https://www.the-star.co.ke/news/2026-08-27-ruto-at-4-primary-healthcare-has-care-moved-closer-to-households</w:t>
      </w:r>
    </w:p>
    <w:p>
      <w:pPr>
        <w:spacing w:after="160" w:line="300"/>
      </w:pPr>
      <w:r>
        <w:rPr>
          <w:i/>
          <w:iCs/>
          <w:color w:val="595959"/>
          <w:sz w:val="18"/>
          <w:szCs w:val="18"/>
        </w:rPr>
        <w:t xml:space="preserve">Note on source [6]: this is a preprint that has not completed peer review. It is used here only for the specific descriptive survey statistics quoted (connectivity, data-transmission, and referral-linkage percentages across the 47-county CHP/CHA sample), not as authority for its broader causal claims.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CHP Companion — Problem Statement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2026-09-07T09:39:47.322Z</dcterms:created>
  <dcterms:modified xsi:type="dcterms:W3CDTF">2026-09-07T09:39:47.323Z</dcterms:modified>
</cp:coreProperties>
</file>

<file path=docProps/custom.xml><?xml version="1.0" encoding="utf-8"?>
<Properties xmlns="http://schemas.openxmlformats.org/officeDocument/2006/custom-properties" xmlns:vt="http://schemas.openxmlformats.org/officeDocument/2006/docPropsVTypes"/>
</file>