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ТЕХНИЧЕСКОЕ ЗАДАНИЕ</w:t>
        <w:br/>
        <w:br/>
        <w:t>на выполнение интеграционных работ</w:t>
        <w:br/>
        <w:t>между платформами SimBASE и Documentolog</w:t>
        <w:br/>
        <w:br/>
        <w:t>(входящая и исходящая корреспонденция с внешним контуром)</w:t>
      </w:r>
    </w:p>
    <w:p>
      <w:pPr>
        <w:jc w:val="center"/>
      </w:pPr>
      <w:r>
        <w:rPr>
          <w:rFonts w:ascii="Times New Roman" w:hAnsi="Times New Roman"/>
          <w:sz w:val="24"/>
        </w:rPr>
        <w:br/>
        <w:t>Версия: 1.1</w:t>
        <w:br/>
        <w:t>Дата: 10.09.2026</w:t>
        <w:br/>
        <w:t>Статус: Проект</w:t>
        <w:br/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pStyle w:val="Heading2"/>
      </w:pPr>
      <w:r>
        <w:t>1.1. Наименование работ</w:t>
      </w:r>
    </w:p>
    <w:p>
      <w:r>
        <w:t>Разработка и внедрение интеграционного решения «SimBASE ↔ Documentolog» для автоматизации входящей и исходящей официальной корреспонденции с внешними контрагентами, включая государственные органы Республики Казахстан.</w:t>
      </w:r>
    </w:p>
    <w:p>
      <w:pPr>
        <w:pStyle w:val="Heading2"/>
      </w:pPr>
      <w:r>
        <w:t>1.2. Основание для разработки</w:t>
      </w:r>
    </w:p>
    <w:p>
      <w:r>
        <w:t>Необходимость устранения дублирования делопроизводственных процедур между SimBASE (внутренние процессы) и Documentolog (внешний обмен через шлюзы ЕСЭДО и КЦОЭД). Основание: _________________________ (договор/приказ заказчика).</w:t>
      </w:r>
    </w:p>
    <w:p>
      <w:pPr>
        <w:pStyle w:val="Heading2"/>
      </w:pPr>
      <w:r>
        <w:t>1.3. Заказчик и исполнитель</w:t>
      </w:r>
    </w:p>
    <w:p>
      <w:r>
        <w:t>Заказчик: _________________________</w:t>
        <w:br/>
        <w:t>Исполнитель: _________________________</w:t>
        <w:br/>
        <w:t>Владелец платформы SimBASE: Simourg LTD / партнёр _________________________</w:t>
        <w:br/>
        <w:t>Поставщик Documentolog: Documentolog Business</w:t>
      </w:r>
    </w:p>
    <w:p>
      <w:pPr>
        <w:pStyle w:val="Heading2"/>
      </w:pPr>
      <w:r>
        <w:t>1.4. Область применения</w:t>
      </w:r>
    </w:p>
    <w:p>
      <w:r>
        <w:t>Только входящая и исходящая корреспонденция с внешним контуром. Внутренний документооборот SimBASE, кадровые и прочие процессы без внешней отправки — вне рамок настоящего ТЗ.</w:t>
      </w:r>
    </w:p>
    <w:p>
      <w:pPr>
        <w:pStyle w:val="Heading1"/>
      </w:pPr>
      <w:r>
        <w:t>2. Назначение и цели проекта</w:t>
      </w:r>
    </w:p>
    <w:p>
      <w:pPr>
        <w:pStyle w:val="Heading2"/>
      </w:pPr>
      <w:r>
        <w:t>2.1. Назначение</w:t>
      </w:r>
    </w:p>
    <w:p>
      <w:r>
        <w:t>Обеспечить единое рабочее место сотрудников в SimBASE при сохранении Documentolog в роли юридически значимого шлюза обмена с внешним контуром (ЕСЭДО, КЦОЭД, контрагенты).</w:t>
      </w:r>
    </w:p>
    <w:p>
      <w:pPr>
        <w:pStyle w:val="Heading2"/>
      </w:pPr>
      <w:r>
        <w:t>2.2. Цели</w:t>
      </w:r>
    </w:p>
    <w:p>
      <w:r>
        <w:t>• Исключить повторное согласование и регистрацию одного и того же письма в двух системах.</w:t>
        <w:br/>
        <w:t>• Сократить время обработки входящей и исходящей корреспонденции.</w:t>
        <w:br/>
        <w:t>• Снизить операционные ошибки при переносе вложений и реквизитов.</w:t>
        <w:br/>
        <w:t>• Обеспечить прозрачный контроль статусов отправки и исполнения в SimBASE.</w:t>
      </w:r>
    </w:p>
    <w:p>
      <w:pPr>
        <w:pStyle w:val="Heading2"/>
      </w:pPr>
      <w:r>
        <w:t>2.3. Ограничение по лицензиям</w:t>
      </w:r>
    </w:p>
    <w:p>
      <w:r>
        <w:t>Имеется 33 лицензии Documentolog. Целевая модель: техническая учётная запись для интеграции; персональные лицензии — только при юридической необходимости действий от имени конкретного лица в Documentolog. Требуется согласование с Documentolog возможности отправки в ЕСЭДО через API без рутинного входа пользователей в UI.</w:t>
      </w:r>
    </w:p>
    <w:p>
      <w:pPr>
        <w:pStyle w:val="Heading1"/>
      </w:pPr>
      <w:r>
        <w:t>3. Описание ситуации AS-IS</w:t>
      </w:r>
    </w:p>
    <w:p>
      <w:pPr>
        <w:pStyle w:val="Heading2"/>
      </w:pPr>
      <w:r>
        <w:t>3.1. Роли систем</w:t>
      </w:r>
    </w:p>
    <w:p>
      <w:r>
        <w:t>SimBASE — внутренние документы и внутренние бизнес-процессы.</w:t>
        <w:br/>
        <w:t>Documentolog — только внешняя переписка (контрагенты, госорганы); встроенные шлюзы ЕСЭДО и КЦОЭД.</w:t>
      </w:r>
    </w:p>
    <w:p>
      <w:pPr>
        <w:pStyle w:val="Heading2"/>
      </w:pPr>
      <w:r>
        <w:t>3.2. Причина разделения</w:t>
      </w:r>
    </w:p>
    <w:p>
      <w:r>
        <w:t>SimBASE не имеет шлюзов ЕСЭДО/КЦОЭД; Documentolog — имеет. Внешняя корреспонденция ведётся в Documentolog, внутренняя — в SimBASE.</w:t>
      </w:r>
    </w:p>
    <w:p>
      <w:pPr>
        <w:pStyle w:val="Heading2"/>
      </w:pPr>
      <w:r>
        <w:t>3.3. Исходящая корреспонденция (AS-IS)</w:t>
      </w:r>
    </w:p>
    <w:p>
      <w:r>
        <w:t>1) Подготовка и согласование письма в SimBASE.</w:t>
        <w:br/>
        <w:t>2) Перенос (вложение) в Documentolog.</w:t>
        <w:br/>
        <w:t>3) Повторное согласование, подписание, регистрация в Documentolog.</w:t>
        <w:br/>
        <w:t>4) Отправка контрагенту / через ЕСЭДО.</w:t>
      </w:r>
    </w:p>
    <w:p>
      <w:pPr>
        <w:pStyle w:val="Heading2"/>
      </w:pPr>
      <w:r>
        <w:t>3.4. Входящая корреспонденция (AS-IS)</w:t>
      </w:r>
    </w:p>
    <w:p>
      <w:r>
        <w:t>1) Письмо поступает в Documentolog (ЕСЭДО/внешний канал).</w:t>
        <w:br/>
        <w:t>2) Офис-менеджер регистрирует в Documentolog.</w:t>
        <w:br/>
        <w:t>3) Вкладывает письмо в SimBASE.</w:t>
        <w:br/>
        <w:t>4) Согласование в SimBASE, направление ответственному подразделению.</w:t>
      </w:r>
    </w:p>
    <w:p>
      <w:pPr>
        <w:pStyle w:val="Heading2"/>
      </w:pPr>
      <w:r>
        <w:t>3.5. Последствия</w:t>
      </w:r>
    </w:p>
    <w:p>
      <w:r>
        <w:t>Дублирование согласований; риск расхождения реквизитов и вложений; двойная нагрузка на делопроизводство; отсутствие единой картины статуса.</w:t>
      </w:r>
    </w:p>
    <w:p>
      <w:pPr>
        <w:pStyle w:val="Heading1"/>
      </w:pPr>
      <w:r>
        <w:t>4. Целевое состояние TO-BE</w:t>
      </w:r>
    </w:p>
    <w:p>
      <w:pPr>
        <w:pStyle w:val="Heading2"/>
      </w:pPr>
      <w:r>
        <w:t>4.1. Принципы</w:t>
      </w:r>
    </w:p>
    <w:p>
      <w:r>
        <w:t>• SimBASE — единая точка работы пользователей по Вх/Исх корреспонденции.</w:t>
        <w:br/>
        <w:t>• Documentolog — backend для юридически значимого обмена с внешним контуром.</w:t>
        <w:br/>
        <w:t>• Согласование и маршрутизация — только в SimBASE.</w:t>
        <w:br/>
        <w:t>• Повторное согласование в Documentolog не выполняется.</w:t>
      </w:r>
    </w:p>
    <w:p>
      <w:pPr>
        <w:pStyle w:val="Heading2"/>
      </w:pPr>
      <w:r>
        <w:t>4.2. Входящая корреспонденция (TO-BE)</w:t>
      </w:r>
    </w:p>
    <w:p>
      <w:r>
        <w:t>1) Письмо принимается Documentolog (как сейчас).</w:t>
        <w:br/>
        <w:t>2) Офис-менеджер в SimBASE нажимает «Запросить входящие» (опционально — автоматический опрос по расписанию).</w:t>
        <w:br/>
        <w:t>3) Интеграция забирает новые письма, метаданные и вложения в SimBASE.</w:t>
        <w:br/>
        <w:t>4) Запускается БП: регистрация → согласование → ответственное подразделение.</w:t>
        <w:br/>
        <w:t>5) Статусы внешнего контура отображаются в карточке SimBASE.</w:t>
      </w:r>
    </w:p>
    <w:p>
      <w:pPr>
        <w:pStyle w:val="Heading2"/>
      </w:pPr>
      <w:r>
        <w:t>4.3. Исходящая корреспонденция (TO-BE)</w:t>
      </w:r>
    </w:p>
    <w:p>
      <w:r>
        <w:t>1) Подготовка, согласование, подписание и регистрация — в SimBASE.</w:t>
        <w:br/>
        <w:t>2) По кнопке «Отправить через Documentolog» — передача в Documentolog и дальнейшая отправка контрагенту / через ЕСЭДО.</w:t>
        <w:br/>
        <w:t>3) Мониторинг статусов (отправлено, доставлено, зарегистрировано у адресата) — в SimBASE.</w:t>
      </w:r>
    </w:p>
    <w:p>
      <w:pPr>
        <w:pStyle w:val="Heading1"/>
      </w:pPr>
      <w:r>
        <w:t>5. Функциональные требования</w:t>
      </w:r>
    </w:p>
    <w:p>
      <w:pPr>
        <w:pStyle w:val="Heading2"/>
      </w:pPr>
      <w:r>
        <w:t>5.1. Входящая корреспонденция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Критерий</w:t>
            </w:r>
          </w:p>
        </w:tc>
      </w:tr>
      <w:tr>
        <w:tc>
          <w:tcPr>
            <w:tcW w:type="dxa" w:w="2880"/>
          </w:tcPr>
          <w:p>
            <w:r>
              <w:t>FR-IN-01</w:t>
            </w:r>
          </w:p>
        </w:tc>
        <w:tc>
          <w:tcPr>
            <w:tcW w:type="dxa" w:w="2880"/>
          </w:tcPr>
          <w:p>
            <w:r>
              <w:t>Кнопка «Запросить входящие из Documentolog»</w:t>
            </w:r>
          </w:p>
        </w:tc>
        <w:tc>
          <w:tcPr>
            <w:tcW w:type="dxa" w:w="2880"/>
          </w:tcPr>
          <w:p>
            <w:r>
              <w:t>Доступ по роли офис-менеджера</w:t>
            </w:r>
          </w:p>
        </w:tc>
      </w:tr>
      <w:tr>
        <w:tc>
          <w:tcPr>
            <w:tcW w:type="dxa" w:w="2880"/>
          </w:tcPr>
          <w:p>
            <w:r>
              <w:t>FR-IN-02</w:t>
            </w:r>
          </w:p>
        </w:tc>
        <w:tc>
          <w:tcPr>
            <w:tcW w:type="dxa" w:w="2880"/>
          </w:tcPr>
          <w:p>
            <w:r>
              <w:t>Импорт только новых писем</w:t>
            </w:r>
          </w:p>
        </w:tc>
        <w:tc>
          <w:tcPr>
            <w:tcW w:type="dxa" w:w="2880"/>
          </w:tcPr>
          <w:p>
            <w:r>
              <w:t>Идемпотентность по documentolog_id</w:t>
            </w:r>
          </w:p>
        </w:tc>
      </w:tr>
      <w:tr>
        <w:tc>
          <w:tcPr>
            <w:tcW w:type="dxa" w:w="2880"/>
          </w:tcPr>
          <w:p>
            <w:r>
              <w:t>FR-IN-03</w:t>
            </w:r>
          </w:p>
        </w:tc>
        <w:tc>
          <w:tcPr>
            <w:tcW w:type="dxa" w:w="2880"/>
          </w:tcPr>
          <w:p>
            <w:r>
              <w:t>Перенос метаданных и вложений</w:t>
            </w:r>
          </w:p>
        </w:tc>
        <w:tc>
          <w:tcPr>
            <w:tcW w:type="dxa" w:w="2880"/>
          </w:tcPr>
          <w:p>
            <w:r>
              <w:t>Полнота данных в тесте</w:t>
            </w:r>
          </w:p>
        </w:tc>
      </w:tr>
      <w:tr>
        <w:tc>
          <w:tcPr>
            <w:tcW w:type="dxa" w:w="2880"/>
          </w:tcPr>
          <w:p>
            <w:r>
              <w:t>FR-IN-04</w:t>
            </w:r>
          </w:p>
        </w:tc>
        <w:tc>
          <w:tcPr>
            <w:tcW w:type="dxa" w:w="2880"/>
          </w:tcPr>
          <w:p>
            <w:r>
              <w:t>Автозапуск БП регистрация → согласование → исполнитель</w:t>
            </w:r>
          </w:p>
        </w:tc>
        <w:tc>
          <w:tcPr>
            <w:tcW w:type="dxa" w:w="2880"/>
          </w:tcPr>
          <w:p>
            <w:r>
              <w:t>По утверждённой схеме</w:t>
            </w:r>
          </w:p>
        </w:tc>
      </w:tr>
      <w:tr>
        <w:tc>
          <w:tcPr>
            <w:tcW w:type="dxa" w:w="2880"/>
          </w:tcPr>
          <w:p>
            <w:r>
              <w:t>FR-IN-05</w:t>
            </w:r>
          </w:p>
        </w:tc>
        <w:tc>
          <w:tcPr>
            <w:tcW w:type="dxa" w:w="2880"/>
          </w:tcPr>
          <w:p>
            <w:r>
              <w:t>Связь SimBASE ↔ Documentolog</w:t>
            </w:r>
          </w:p>
        </w:tc>
        <w:tc>
          <w:tcPr>
            <w:tcW w:type="dxa" w:w="2880"/>
          </w:tcPr>
          <w:p>
            <w:r>
              <w:t>Внешний ID в карточке</w:t>
            </w:r>
          </w:p>
        </w:tc>
      </w:tr>
      <w:tr>
        <w:tc>
          <w:tcPr>
            <w:tcW w:type="dxa" w:w="2880"/>
          </w:tcPr>
          <w:p>
            <w:r>
              <w:t>FR-IN-06</w:t>
            </w:r>
          </w:p>
        </w:tc>
        <w:tc>
          <w:tcPr>
            <w:tcW w:type="dxa" w:w="2880"/>
          </w:tcPr>
          <w:p>
            <w:r>
              <w:t>Плановый опрос (опционально)</w:t>
            </w:r>
          </w:p>
        </w:tc>
        <w:tc>
          <w:tcPr>
            <w:tcW w:type="dxa" w:w="2880"/>
          </w:tcPr>
          <w:p>
            <w:r>
              <w:t>Настраиваемый интервал</w:t>
            </w:r>
          </w:p>
        </w:tc>
      </w:tr>
    </w:tbl>
    <w:p/>
    <w:p>
      <w:pPr>
        <w:pStyle w:val="Heading2"/>
      </w:pPr>
      <w:r>
        <w:t>5.2. Исходящая корреспонденция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Критерий</w:t>
            </w:r>
          </w:p>
        </w:tc>
      </w:tr>
      <w:tr>
        <w:tc>
          <w:tcPr>
            <w:tcW w:type="dxa" w:w="2880"/>
          </w:tcPr>
          <w:p>
            <w:r>
              <w:t>FR-OUT-01</w:t>
            </w:r>
          </w:p>
        </w:tc>
        <w:tc>
          <w:tcPr>
            <w:tcW w:type="dxa" w:w="2880"/>
          </w:tcPr>
          <w:p>
            <w:r>
              <w:t>БП без этапов согласования в Documentolog</w:t>
            </w:r>
          </w:p>
        </w:tc>
        <w:tc>
          <w:tcPr>
            <w:tcW w:type="dxa" w:w="2880"/>
          </w:tcPr>
          <w:p>
            <w:r>
              <w:t>Нет дублирующих задач</w:t>
            </w:r>
          </w:p>
        </w:tc>
      </w:tr>
      <w:tr>
        <w:tc>
          <w:tcPr>
            <w:tcW w:type="dxa" w:w="2880"/>
          </w:tcPr>
          <w:p>
            <w:r>
              <w:t>FR-OUT-02</w:t>
            </w:r>
          </w:p>
        </w:tc>
        <w:tc>
          <w:tcPr>
            <w:tcW w:type="dxa" w:w="2880"/>
          </w:tcPr>
          <w:p>
            <w:r>
              <w:t>Валидация перед отправкой</w:t>
            </w:r>
          </w:p>
        </w:tc>
        <w:tc>
          <w:tcPr>
            <w:tcW w:type="dxa" w:w="2880"/>
          </w:tcPr>
          <w:p>
            <w:r>
              <w:t>Блокировка при ошибках</w:t>
            </w:r>
          </w:p>
        </w:tc>
      </w:tr>
      <w:tr>
        <w:tc>
          <w:tcPr>
            <w:tcW w:type="dxa" w:w="2880"/>
          </w:tcPr>
          <w:p>
            <w:r>
              <w:t>FR-OUT-03</w:t>
            </w:r>
          </w:p>
        </w:tc>
        <w:tc>
          <w:tcPr>
            <w:tcW w:type="dxa" w:w="2880"/>
          </w:tcPr>
          <w:p>
            <w:r>
              <w:t>Отправка после статуса «Готов к отправке»</w:t>
            </w:r>
          </w:p>
        </w:tc>
        <w:tc>
          <w:tcPr>
            <w:tcW w:type="dxa" w:w="2880"/>
          </w:tcPr>
          <w:p>
            <w:r>
              <w:t>Контроль прав</w:t>
            </w:r>
          </w:p>
        </w:tc>
      </w:tr>
      <w:tr>
        <w:tc>
          <w:tcPr>
            <w:tcW w:type="dxa" w:w="2880"/>
          </w:tcPr>
          <w:p>
            <w:r>
              <w:t>FR-OUT-04</w:t>
            </w:r>
          </w:p>
        </w:tc>
        <w:tc>
          <w:tcPr>
            <w:tcW w:type="dxa" w:w="2880"/>
          </w:tcPr>
          <w:p>
            <w:r>
              <w:t>Передача в Documentolog (ЕСЭДО/B2B)</w:t>
            </w:r>
          </w:p>
        </w:tc>
        <w:tc>
          <w:tcPr>
            <w:tcW w:type="dxa" w:w="2880"/>
          </w:tcPr>
          <w:p>
            <w:r>
              <w:t>Успешный ответ API</w:t>
            </w:r>
          </w:p>
        </w:tc>
      </w:tr>
      <w:tr>
        <w:tc>
          <w:tcPr>
            <w:tcW w:type="dxa" w:w="2880"/>
          </w:tcPr>
          <w:p>
            <w:r>
              <w:t>FR-OUT-05</w:t>
            </w:r>
          </w:p>
        </w:tc>
        <w:tc>
          <w:tcPr>
            <w:tcW w:type="dxa" w:w="2880"/>
          </w:tcPr>
          <w:p>
            <w:r>
              <w:t>Фиксация статусов отправки</w:t>
            </w:r>
          </w:p>
        </w:tc>
        <w:tc>
          <w:tcPr>
            <w:tcW w:type="dxa" w:w="2880"/>
          </w:tcPr>
          <w:p>
            <w:r>
              <w:t>Webhook/опрос</w:t>
            </w:r>
          </w:p>
        </w:tc>
      </w:tr>
      <w:tr>
        <w:tc>
          <w:tcPr>
            <w:tcW w:type="dxa" w:w="2880"/>
          </w:tcPr>
          <w:p>
            <w:r>
              <w:t>FR-OUT-06</w:t>
            </w:r>
          </w:p>
        </w:tc>
        <w:tc>
          <w:tcPr>
            <w:tcW w:type="dxa" w:w="2880"/>
          </w:tcPr>
          <w:p>
            <w:r>
              <w:t>Запрет повторной отправки без явного действия</w:t>
            </w:r>
          </w:p>
        </w:tc>
        <w:tc>
          <w:tcPr>
            <w:tcW w:type="dxa" w:w="2880"/>
          </w:tcPr>
          <w:p>
            <w:r>
              <w:t>Контроль версии</w:t>
            </w:r>
          </w:p>
        </w:tc>
      </w:tr>
    </w:tbl>
    <w:p/>
    <w:p>
      <w:pPr>
        <w:pStyle w:val="Heading1"/>
      </w:pPr>
      <w:r>
        <w:t>6. Техническая архитектура</w:t>
      </w:r>
    </w:p>
    <w:p>
      <w:r>
        <w:t>Компоненты: SimBASE (БП, формы, хранилище файлов); интеграционный сервис (REST, webhook, адаптер Documentolog); Documentolog Business (ЕСЭДО/КЦОЭД, внешний обмен).</w:t>
        <w:br/>
        <w:br/>
        <w:t>Критическая зависимость: подтверждение у Documentolog API для импорта входящей корреспонденции и отправки в ЕСЭДО без рутинной работы пользователей в UI. Публичная документация API (apibusiness.documentolog.com) ориентирована на подписание; требуется проектная спецификация методов для канцелярии.</w:t>
      </w:r>
    </w:p>
    <w:p>
      <w:pPr>
        <w:pStyle w:val="Heading1"/>
      </w:pPr>
      <w:r>
        <w:t>7. Этапы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Обследование</w:t>
            </w:r>
          </w:p>
        </w:tc>
        <w:tc>
          <w:tcPr>
            <w:tcW w:type="dxa" w:w="2880"/>
          </w:tcPr>
          <w:p>
            <w:r>
              <w:t>Отчёт, ТЗ v1.2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Workshop с Documentolog (API ЕСЭДО/входящие)</w:t>
            </w:r>
          </w:p>
        </w:tc>
        <w:tc>
          <w:tcPr>
            <w:tcW w:type="dxa" w:w="2880"/>
          </w:tcPr>
          <w:p>
            <w:r>
              <w:t>Спецификация API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Проектирование</w:t>
            </w:r>
          </w:p>
        </w:tc>
        <w:tc>
          <w:tcPr>
            <w:tcW w:type="dxa" w:w="2880"/>
          </w:tcPr>
          <w:p>
            <w:r>
              <w:t>Проектное решение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Разработка интеграции</w:t>
            </w:r>
          </w:p>
        </w:tc>
        <w:tc>
          <w:tcPr>
            <w:tcW w:type="dxa" w:w="2880"/>
          </w:tcPr>
          <w:p>
            <w:r>
              <w:t>Стенд DEV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Настройка SimBASE (2 БП)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Пилот</w:t>
            </w:r>
          </w:p>
        </w:tc>
        <w:tc>
          <w:tcPr>
            <w:tcW w:type="dxa" w:w="2880"/>
          </w:tcPr>
          <w:p>
            <w:r>
              <w:t>Протокол ОПЭ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Промышленная эксплуатация</w:t>
            </w:r>
          </w:p>
        </w:tc>
        <w:tc>
          <w:tcPr>
            <w:tcW w:type="dxa" w:w="2880"/>
          </w:tcPr>
          <w:p>
            <w:r>
              <w:t>Акт, регламент</w:t>
            </w:r>
          </w:p>
        </w:tc>
      </w:tr>
    </w:tbl>
    <w:p/>
    <w:p>
      <w:pPr>
        <w:pStyle w:val="Heading1"/>
      </w:pPr>
      <w:r>
        <w:t>8. Критерии приёмки</w:t>
      </w:r>
    </w:p>
    <w:p>
      <w:r>
        <w:t>1. Входящее: письмо из Documentolog импортируется в SimBASE по кнопке офис-менеджера, проходит регистрацию и согласование без ручного дублирования в Documentolog.</w:t>
        <w:br/>
        <w:t>2. Исходящее: согласование и подписание только в SimBASE; отправка через Documentolog без второго цикла согласования в Documentolog.</w:t>
        <w:br/>
        <w:t>3. Статусы отправки видны в карточке SimBASE.</w:t>
        <w:br/>
        <w:t>4. Журнал интеграции восстанавливает цепочку по одному письму.</w:t>
        <w:br/>
        <w:t>5. Подтверждение делопроизводства по результатам пилота (количество кейсов — согласовать).</w:t>
      </w:r>
    </w:p>
    <w:p>
      <w:pPr>
        <w:pStyle w:val="Heading1"/>
      </w:pPr>
      <w:r>
        <w:t>9.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Мера</w:t>
            </w:r>
          </w:p>
        </w:tc>
      </w:tr>
      <w:tr>
        <w:tc>
          <w:tcPr>
            <w:tcW w:type="dxa" w:w="4320"/>
          </w:tcPr>
          <w:p>
            <w:r>
              <w:t>Нет API «забрать входящие»</w:t>
            </w:r>
          </w:p>
        </w:tc>
        <w:tc>
          <w:tcPr>
            <w:tcW w:type="dxa" w:w="4320"/>
          </w:tcPr>
          <w:p>
            <w:r>
              <w:t>Запрос в Documentolog; временный полуавтомат</w:t>
            </w:r>
          </w:p>
        </w:tc>
      </w:tr>
      <w:tr>
        <w:tc>
          <w:tcPr>
            <w:tcW w:type="dxa" w:w="4320"/>
          </w:tcPr>
          <w:p>
            <w:r>
              <w:t>ЕСЭДО только из UI Documentolog</w:t>
            </w:r>
          </w:p>
        </w:tc>
        <w:tc>
          <w:tcPr>
            <w:tcW w:type="dxa" w:w="4320"/>
          </w:tcPr>
          <w:p>
            <w:r>
              <w:t>Расширенный API от Documentolog</w:t>
            </w:r>
          </w:p>
        </w:tc>
      </w:tr>
      <w:tr>
        <w:tc>
          <w:tcPr>
            <w:tcW w:type="dxa" w:w="4320"/>
          </w:tcPr>
          <w:p>
            <w:r>
              <w:t>Двойная регистрация номеров</w:t>
            </w:r>
          </w:p>
        </w:tc>
        <w:tc>
          <w:tcPr>
            <w:tcW w:type="dxa" w:w="4320"/>
          </w:tcPr>
          <w:p>
            <w:r>
              <w:t>Учётный номер — SimBASE; Documentolog — транспорт</w:t>
            </w:r>
          </w:p>
        </w:tc>
      </w:tr>
      <w:tr>
        <w:tc>
          <w:tcPr>
            <w:tcW w:type="dxa" w:w="4320"/>
          </w:tcPr>
          <w:p>
            <w:r>
              <w:t>33 лицензии</w:t>
            </w:r>
          </w:p>
        </w:tc>
        <w:tc>
          <w:tcPr>
            <w:tcW w:type="dxa" w:w="4320"/>
          </w:tcPr>
          <w:p>
            <w:r>
              <w:t>Техучётка + маппинг подписантов</w:t>
            </w:r>
          </w:p>
        </w:tc>
      </w:tr>
    </w:tbl>
    <w:p/>
    <w:p>
      <w:pPr>
        <w:pStyle w:val="Heading1"/>
      </w:pPr>
      <w:r>
        <w:t>10. Открытые вопросы</w:t>
      </w:r>
    </w:p>
    <w:p>
      <w:r>
        <w:t>• Объёмы Вх/Исх в день и доля ЕСЭДО.</w:t>
        <w:br/>
        <w:t>• Состав подписантов исходящих в ГО.</w:t>
        <w:br/>
        <w:t>• Автоопрос входящих vs только кнопка.</w:t>
        <w:br/>
        <w:t>• Доступность файлов SimBASE для Documentolog по HTTPS.</w:t>
        <w:br/>
        <w:t>• Контакт Documentolog для проектного API.</w:t>
        <w:br/>
        <w:t>• Партнёр SimBASE и сроки настройки БП.</w:t>
      </w:r>
    </w:p>
    <w:p>
      <w:pPr>
        <w:pStyle w:val="Heading1"/>
      </w:pPr>
      <w:r>
        <w:t>Приложение А. Сравнение AS-IS и TO-BE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AS-IS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TO-BE</w:t>
            </w:r>
          </w:p>
        </w:tc>
      </w:tr>
      <w:tr>
        <w:tc>
          <w:tcPr>
            <w:tcW w:type="dxa" w:w="2880"/>
          </w:tcPr>
          <w:p>
            <w:r>
              <w:t>Рабочее место</w:t>
            </w:r>
          </w:p>
        </w:tc>
        <w:tc>
          <w:tcPr>
            <w:tcW w:type="dxa" w:w="2880"/>
          </w:tcPr>
          <w:p>
            <w:r>
              <w:t>SimBASE + Documentolog</w:t>
            </w:r>
          </w:p>
        </w:tc>
        <w:tc>
          <w:tcPr>
            <w:tcW w:type="dxa" w:w="2880"/>
          </w:tcPr>
          <w:p>
            <w:r>
              <w:t>Только SimBASE</w:t>
            </w:r>
          </w:p>
        </w:tc>
      </w:tr>
      <w:tr>
        <w:tc>
          <w:tcPr>
            <w:tcW w:type="dxa" w:w="2880"/>
          </w:tcPr>
          <w:p>
            <w:r>
              <w:t>Согласование</w:t>
            </w:r>
          </w:p>
        </w:tc>
        <w:tc>
          <w:tcPr>
            <w:tcW w:type="dxa" w:w="2880"/>
          </w:tcPr>
          <w:p>
            <w:r>
              <w:t>Дважды</w:t>
            </w:r>
          </w:p>
        </w:tc>
        <w:tc>
          <w:tcPr>
            <w:tcW w:type="dxa" w:w="2880"/>
          </w:tcPr>
          <w:p>
            <w:r>
              <w:t>Один раз (SimBASE)</w:t>
            </w:r>
          </w:p>
        </w:tc>
      </w:tr>
      <w:tr>
        <w:tc>
          <w:tcPr>
            <w:tcW w:type="dxa" w:w="2880"/>
          </w:tcPr>
          <w:p>
            <w:r>
              <w:t>ЕСЭДО/КЦОЭД</w:t>
            </w:r>
          </w:p>
        </w:tc>
        <w:tc>
          <w:tcPr>
            <w:tcW w:type="dxa" w:w="2880"/>
          </w:tcPr>
          <w:p>
            <w:r>
              <w:t>Documentolog</w:t>
            </w:r>
          </w:p>
        </w:tc>
        <w:tc>
          <w:tcPr>
            <w:tcW w:type="dxa" w:w="2880"/>
          </w:tcPr>
          <w:p>
            <w:r>
              <w:t>Без изменений (под капотом)</w:t>
            </w:r>
          </w:p>
        </w:tc>
      </w:tr>
      <w:tr>
        <w:tc>
          <w:tcPr>
            <w:tcW w:type="dxa" w:w="2880"/>
          </w:tcPr>
          <w:p>
            <w:r>
              <w:t>Входящие</w:t>
            </w:r>
          </w:p>
        </w:tc>
        <w:tc>
          <w:tcPr>
            <w:tcW w:type="dxa" w:w="2880"/>
          </w:tcPr>
          <w:p>
            <w:r>
              <w:t>Ручная регистрация в обеих системах</w:t>
            </w:r>
          </w:p>
        </w:tc>
        <w:tc>
          <w:tcPr>
            <w:tcW w:type="dxa" w:w="2880"/>
          </w:tcPr>
          <w:p>
            <w:r>
              <w:t>«Запросить» → БП в SimBASE</w:t>
            </w:r>
          </w:p>
        </w:tc>
      </w:tr>
      <w:tr>
        <w:tc>
          <w:tcPr>
            <w:tcW w:type="dxa" w:w="2880"/>
          </w:tcPr>
          <w:p>
            <w:r>
              <w:t>Исходящие</w:t>
            </w:r>
          </w:p>
        </w:tc>
        <w:tc>
          <w:tcPr>
            <w:tcW w:type="dxa" w:w="2880"/>
          </w:tcPr>
          <w:p>
            <w:r>
              <w:t>Согласование в обеих системах</w:t>
            </w:r>
          </w:p>
        </w:tc>
        <w:tc>
          <w:tcPr>
            <w:tcW w:type="dxa" w:w="2880"/>
          </w:tcPr>
          <w:p>
            <w:r>
              <w:t>SimBASE → «Отправить» в Documentolog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