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555555"/>
          <w:sz w:val="22"/>
          <w:szCs w:val="22"/>
        </w:rPr>
        <w:t xml:space="preserve">ДЕПАРТАМЕНТ УПРАВЛЕНИЯ ПРОЕКТАМИ (ДУП)</w:t>
      </w:r>
    </w:p>
    <w:p>
      <w:pPr>
        <w:spacing w:after="160"/>
        <w:jc w:val="center"/>
      </w:pPr>
      <w:r>
        <w:rPr>
          <w:b/>
          <w:bCs/>
          <w:sz w:val="36"/>
          <w:szCs w:val="36"/>
        </w:rPr>
        <w:t xml:space="preserve">Сопоставительный анализ двух слоёв процессной документации</w:t>
      </w:r>
    </w:p>
    <w:p>
      <w:pPr>
        <w:spacing w:after="500"/>
        <w:jc w:val="center"/>
      </w:pPr>
      <w:r>
        <w:rPr>
          <w:i/>
          <w:iCs/>
          <w:color w:val="555555"/>
          <w:sz w:val="22"/>
          <w:szCs w:val="22"/>
        </w:rPr>
        <w:t xml:space="preserve">Слой А — анализ 2026 года  ·  Слой B — действующая нормативная база 2020–2023 гг.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6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Объект анализа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Содержимое папки Google Drive «ДУП» (14 файлов, две подпапки)</w:t>
            </w:r>
          </w:p>
        </w:tc>
      </w:tr>
      <w:tr>
        <w:trPr>
          <w:cantSplit/>
        </w:trPr>
        <w:tc>
          <w:tcPr>
            <w:tcW w:type="dxa" w:w="24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Предмет анализа</w:t>
            </w:r>
          </w:p>
        </w:tc>
        <w:tc>
          <w:tcPr>
            <w:tcW w:type="dxa" w:w="66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Расхождения и пересечения между результатами процессного обследования 2026 г. и ранее утверждённой нормативной базой компании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Метод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Сплошное чтение документов обоих слоёв; построчное сопоставление реестра узких мест слоя А с содержанием документов слоя B; классификация каждого расхождения по типу причины</w:t>
            </w:r>
          </w:p>
        </w:tc>
      </w:tr>
      <w:tr>
        <w:trPr>
          <w:cantSplit/>
        </w:trPr>
        <w:tc>
          <w:tcPr>
            <w:tcW w:type="dxa" w:w="24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Организация</w:t>
            </w:r>
          </w:p>
        </w:tc>
        <w:tc>
          <w:tcPr>
            <w:tcW w:type="dxa" w:w="66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ТОО «Көркем Телеком» (с участием ТОО «IP Технологии», ЧК «Sergek Projects Ltd.»)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Дата подготовки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25 августа 2026 г.</w:t>
            </w:r>
          </w:p>
        </w:tc>
      </w:tr>
      <w:tr>
        <w:trPr>
          <w:cantSplit/>
        </w:trPr>
        <w:tc>
          <w:tcPr>
            <w:tcW w:type="dxa" w:w="24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Статус</w:t>
            </w:r>
          </w:p>
        </w:tc>
        <w:tc>
          <w:tcPr>
            <w:tcW w:type="dxa" w:w="66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Рабочий аналитический документ. Требует верификации у владельцев процессов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1A1A"/>
          <w:sz w:val="28"/>
          <w:szCs w:val="28"/>
        </w:rPr>
        <w:t xml:space="preserve">1. Резюме для руководства</w:t>
      </w:r>
    </w:p>
    <w:p>
      <w:pPr>
        <w:spacing w:after="120" w:line="276"/>
      </w:pPr>
      <w:r>
        <w:t xml:space="preserve">Папка «ДУП» содержит два независимо созданных слоя документации, разделённых тремя годами и организационной реформой. Слой А (август 2026 г.) — результат нового процессного обследования: отчёт по интервью, дерево процессов, RACI-матрица, проект должностных инструкций под новую штатную структуру, кадрово-компетентностная матрица, опросник директоров филиалов. Слой B (2020–2023 гг.) — выгрузка из Confluence: методология внедрения, алгоритм взаимодействия при инициации проекта ГЧП, чек-листы по ролям филиала, утверждённые служебными записками и подписанные ЭЦП через СЭД Documentolog.</w:t>
      </w:r>
    </w:p>
    <w:p>
      <w:pPr>
        <w:spacing w:after="120" w:line="276"/>
      </w:pPr>
      <w:r>
        <w:t xml:space="preserve">Сопоставление даёт три главных вывода.</w:t>
      </w:r>
    </w:p>
    <w:p>
      <w:pPr>
        <w:spacing w:after="120" w:line="276"/>
      </w:pPr>
      <w:r>
        <w:rPr>
          <w:b/>
          <w:bCs/>
        </w:rPr>
        <w:t xml:space="preserve">Первый. </w:t>
      </w:r>
      <w:r>
        <w:t xml:space="preserve">Слой А в значительной части описывает как «отсутствие процесса» то, что в слое B формализовано, утверждено и де-юре действует. Из пятнадцати узких мест, зафиксированных в отчёте по интервью, шесть полностью или существенно покрыты действующими документами слоя B, ещё четыре покрыты частично. Это меняет характер требуемых мер: с разработки регламентов на ревизию, переиздание и постановку контроля исполнения.</w:t>
      </w:r>
    </w:p>
    <w:p>
      <w:pPr>
        <w:spacing w:after="120" w:line="276"/>
      </w:pPr>
      <w:r>
        <w:rPr>
          <w:b/>
          <w:bCs/>
        </w:rPr>
        <w:t xml:space="preserve">Второй. </w:t>
      </w:r>
      <w:r>
        <w:t xml:space="preserve">Между слоями произошла смена управленческой парадигмы, которая нигде не зафиксирована как решение. В слое B центром проектного управления является филиал (проектная команда с директором, главным менеджером, главным инженером, бухгалтером и матричным бэк-офисом), а ДУП выступает координатором и методологом. В слое А центром становится ДУП с курирующими менеджерами, а филиал — исполнителем. Инструменты контроля при этом остались привязаны к прежней модели. Именно этим объясняется зафиксированное в интервью ощущение «безграничной ответственности» куратора проекта: ответственность переместилась в ДУП, а чек-листы, ОКР и реестры — нет.</w:t>
      </w:r>
    </w:p>
    <w:p>
      <w:pPr>
        <w:spacing w:after="120" w:line="276"/>
      </w:pPr>
      <w:r>
        <w:rPr>
          <w:b/>
          <w:bCs/>
        </w:rPr>
        <w:t xml:space="preserve">Третий. </w:t>
      </w:r>
      <w:r>
        <w:t xml:space="preserve">Слой B содержит фактуру, которую слой А не увидел вовсе: структуру платежей по договору ГЧП (ВУ, КИЗ, КОЗ) с полным перечнем подтверждающих документов и ежемесячной периодичностью. Между тем именно на этих категориях строится процесс «прогноз поступлений», признанный в слое А неформализованным. Вывод об отсутствии процесса сделан без учёта его нормативной основы.</w:t>
      </w:r>
    </w:p>
    <w:p>
      <w:pPr>
        <w:spacing w:after="120" w:line="276"/>
      </w:pPr>
      <w:r>
        <w:t xml:space="preserve">Практическое следствие: до разработки любых новых регламентов и до утверждения новой штатной структуры необходимо провести ревизию действующей нормативной базы. Иначе компания получит третий слой документов поверх двух неисполняемых.</w:t>
      </w:r>
    </w:p>
    <w:p>
      <w:pPr>
        <w:pStyle w:val="Heading1"/>
        <w:spacing w:after="160" w:before="320"/>
      </w:pPr>
      <w:r>
        <w:rPr>
          <w:b/>
          <w:bCs/>
          <w:color w:val="1A1A1A"/>
          <w:sz w:val="28"/>
          <w:szCs w:val="28"/>
        </w:rPr>
        <w:t xml:space="preserve">2. Состав слоёв</w:t>
      </w:r>
    </w:p>
    <w:p>
      <w:pPr>
        <w:pStyle w:val="Heading2"/>
        <w:spacing w:after="120" w:before="240"/>
      </w:pPr>
      <w:r>
        <w:rPr>
          <w:b/>
          <w:bCs/>
          <w:color w:val="2A2A2A"/>
          <w:sz w:val="24"/>
          <w:szCs w:val="24"/>
        </w:rPr>
        <w:t xml:space="preserve">2.1. Слой А — процессный анализ 2026 года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300"/>
        <w:gridCol w:w="1500"/>
        <w:gridCol w:w="4200"/>
      </w:tblGrid>
      <w:tr>
        <w:trPr>
          <w:tblHeader/>
        </w:trPr>
        <w:tc>
          <w:tcPr>
            <w:tcW w:type="dxa" w:w="33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Документ</w:t>
            </w:r>
          </w:p>
        </w:tc>
        <w:tc>
          <w:tcPr>
            <w:tcW w:type="dxa" w:w="15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Дата</w:t>
            </w:r>
          </w:p>
        </w:tc>
        <w:tc>
          <w:tcPr>
            <w:tcW w:type="dxa" w:w="42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Назначение и статус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DUP_analiz_protsessov_interview1.docx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14.08.2026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Отчёт AS-IS по итогам первого интервью. Содержит описание двух блоков процессов, таблицу из 15 узких мест, перечень предложений участников, реестр неясных терминов, рекомендации в двух горизонтах. Черновой аналитический документ</w:t>
            </w:r>
          </w:p>
        </w:tc>
      </w:tr>
      <w:tr>
        <w:trPr>
          <w:cantSplit/>
        </w:trPr>
        <w:tc>
          <w:tcPr>
            <w:tcW w:type="dxa" w:w="3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dup_process_tree_2.html</w:t>
            </w:r>
          </w:p>
        </w:tc>
        <w:tc>
          <w:tcPr>
            <w:tcW w:type="dxa" w:w="15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18.08.2026</w:t>
            </w:r>
          </w:p>
        </w:tc>
        <w:tc>
          <w:tcPr>
            <w:tcW w:type="dxa" w:w="42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Дерево процессов, внутренняя версия 4. Раздел А — четыре сквозных процесса ДУП; раздел Б — пять «чужих» процессов с участием ДУП. Рабочая визуализация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DUP_RACI_matritsa_1.xlsx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18.08.2026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RACI-матрица по дереву процессов, сверенная с ДИ и кадровой матрицей. Содержит блок ключевых находок. Рабочий документ</w:t>
            </w:r>
          </w:p>
        </w:tc>
      </w:tr>
      <w:tr>
        <w:trPr>
          <w:cantSplit/>
        </w:trPr>
        <w:tc>
          <w:tcPr>
            <w:tcW w:type="dxa" w:w="3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ДИ_ДУП_по_новой_штатке_по_шаблону.docx</w:t>
            </w:r>
          </w:p>
        </w:tc>
        <w:tc>
          <w:tcPr>
            <w:tcW w:type="dxa" w:w="15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14.08.2026</w:t>
            </w:r>
          </w:p>
        </w:tc>
        <w:tc>
          <w:tcPr>
            <w:tcW w:type="dxa" w:w="42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Четыре проекта должностных инструкций: два заместителя директора, главный и младший менеджеры проектов. Не утверждены (поля приказа не заполнены)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matrix — 2026-08-14.xlsx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14.08.2026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Кадрово-компетентностная матрица на 19 позиций трёх юридических лиц: требования, знания, KPI, показатели, взаимодействия</w:t>
            </w:r>
          </w:p>
        </w:tc>
      </w:tr>
      <w:tr>
        <w:trPr>
          <w:cantSplit/>
        </w:trPr>
        <w:tc>
          <w:tcPr>
            <w:tcW w:type="dxa" w:w="3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Опросник директоров Филиалов.xlsx + Google-форма</w:t>
            </w:r>
          </w:p>
        </w:tc>
        <w:tc>
          <w:tcPr>
            <w:tcW w:type="dxa" w:w="15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19–20.08.2026</w:t>
            </w:r>
          </w:p>
        </w:tc>
        <w:tc>
          <w:tcPr>
            <w:tcW w:type="dxa" w:w="42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Инструмент масштабирования обследования на филиальную сеть: 8 блоков, около 40 вопросов. Опубликован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2A2A2A"/>
          <w:sz w:val="24"/>
          <w:szCs w:val="24"/>
        </w:rPr>
        <w:t xml:space="preserve">2.2. Слой B — нормативная база 2020–2023 годов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300"/>
        <w:gridCol w:w="1500"/>
        <w:gridCol w:w="4200"/>
      </w:tblGrid>
      <w:tr>
        <w:trPr>
          <w:tblHeader/>
        </w:trPr>
        <w:tc>
          <w:tcPr>
            <w:tcW w:type="dxa" w:w="33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Документ</w:t>
            </w:r>
          </w:p>
        </w:tc>
        <w:tc>
          <w:tcPr>
            <w:tcW w:type="dxa" w:w="15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Дата</w:t>
            </w:r>
          </w:p>
        </w:tc>
        <w:tc>
          <w:tcPr>
            <w:tcW w:type="dxa" w:w="42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Назначение и статус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Алгоритм_взаимодействия_при_инициации_проекта_ГЧП_v2.docx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без даты, редакция 2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Полный сквозной регламент инициации: 21 мероприятие от переговоров до реализации, с ответственными, сроками и формой завершения по каждому этапу. Ключевой документ слоя B</w:t>
            </w:r>
          </w:p>
        </w:tc>
      </w:tr>
      <w:tr>
        <w:trPr>
          <w:cantSplit/>
        </w:trPr>
        <w:tc>
          <w:tcPr>
            <w:tcW w:type="dxa" w:w="3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Взаимодействие по инициации.docx</w:t>
            </w:r>
          </w:p>
        </w:tc>
        <w:tc>
          <w:tcPr>
            <w:tcW w:type="dxa" w:w="15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05.05.2021</w:t>
            </w:r>
          </w:p>
        </w:tc>
        <w:tc>
          <w:tcPr>
            <w:tcW w:type="dxa" w:w="42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Ранняя редакция того же процесса в виде матрицы документов с бюджетными источниками. Историческая ценность — показывает эволюцию регламента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чек листы 07.05.23 (2).docx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СЗ/418 от 25.05.2023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Сводный документ: чек-листы девяти ролей филиала по десяти областям управления проектом. Согласован пятью руководителями, подписан ЭЦП, СЭД Documentolog. Действующий утверждённый документ</w:t>
            </w:r>
          </w:p>
        </w:tc>
      </w:tr>
      <w:tr>
        <w:trPr>
          <w:cantSplit/>
        </w:trPr>
        <w:tc>
          <w:tcPr>
            <w:tcW w:type="dxa" w:w="3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Директор филиала.docx, Гл менеджер проекта.docx, Менеджер проекта.docx, Главный инженер.docx, Специалист ОКК.docx, Специалист тех поддержки.docx, Бухгалтер филиала.docx</w:t>
            </w:r>
          </w:p>
        </w:tc>
        <w:tc>
          <w:tcPr>
            <w:tcW w:type="dxa" w:w="15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СЗ/420 от 29.05.2023</w:t>
            </w:r>
          </w:p>
        </w:tc>
        <w:tc>
          <w:tcPr>
            <w:tcW w:type="dxa" w:w="42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Те же чек-листы, изданные пороздельно, с грифом утверждения генерального директора. Вопреки названиям файлов это не должностные инструкции, а чек-листы контроля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Методология_внедрения_Сергек_1313_стр.docx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24.08.2026 (загрузка)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Корпоративная методология объёмом 1313 страниц, 81 МБ. Не прочитана: объём превышает предел извлечения через коннектор</w:t>
            </w:r>
          </w:p>
        </w:tc>
      </w:tr>
      <w:tr>
        <w:trPr>
          <w:cantSplit/>
        </w:trPr>
        <w:tc>
          <w:tcPr>
            <w:tcW w:type="dxa" w:w="3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20200610_Структура методологии (mmap / png / html)</w:t>
            </w:r>
          </w:p>
        </w:tc>
        <w:tc>
          <w:tcPr>
            <w:tcW w:type="dxa" w:w="15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10.06.2020</w:t>
            </w:r>
          </w:p>
        </w:tc>
        <w:tc>
          <w:tcPr>
            <w:tcW w:type="dxa" w:w="42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Карта структуры методологии. Датировка указывает, что нормативная база выстраивалась с 2020 года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  <w:bCs/>
        </w:rPr>
        <w:t xml:space="preserve">Существенное наблюдение по статусу. </w:t>
      </w:r>
      <w:r>
        <w:t xml:space="preserve">Документы слоя B не являются черновиками. Чек-листы прошли согласование пятью руководителями (Минкевич В. П., Сагалов М. Р., Исаев А. Ж., Жаксыгелдин Б. К., Кетепов Н. Н.), подписаны ЭЦП генерального директора и зарегистрированы в СЭД. Формально они действуют, поскольку решения об их отмене в материалах не обнаружено. Документы слоя А, напротив, статуса не имеют: проекты ДИ не утверждены, отчёт по интервью — рабочий аналитический материал.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1A1A"/>
          <w:sz w:val="28"/>
          <w:szCs w:val="28"/>
        </w:rPr>
        <w:t xml:space="preserve">3. Сопоставление по процессу инициации проекта</w:t>
      </w:r>
    </w:p>
    <w:p>
      <w:pPr>
        <w:spacing w:after="120" w:line="276"/>
      </w:pPr>
      <w:r>
        <w:t xml:space="preserve">Это наиболее показательное расхождение между слоями. Отчёт слоя А фиксирует проблему № 1 — неполный пакет документов при передаче проекта из ДРБ в ДУП, ожидание адресной программы около полугода — и рекомендует «зафиксировать письменно минимальный пакет документов, обязательный при передаче проекта». Слой B содержит этот перечень в утверждённом виде, с указанием срока передачи.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800"/>
        <w:gridCol w:w="2700"/>
        <w:gridCol w:w="3500"/>
      </w:tblGrid>
      <w:tr>
        <w:trPr>
          <w:tblHeader/>
        </w:trPr>
        <w:tc>
          <w:tcPr>
            <w:tcW w:type="dxa" w:w="28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Этап по регламенту слоя B</w:t>
            </w:r>
          </w:p>
        </w:tc>
        <w:tc>
          <w:tcPr>
            <w:tcW w:type="dxa" w:w="27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Норматив</w:t>
            </w:r>
          </w:p>
        </w:tc>
        <w:tc>
          <w:tcPr>
            <w:tcW w:type="dxa" w:w="35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Что говорит слой А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Переговоры, предварительный список объектов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Инициация процесса, ответственный — ДРБ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Описано как presale ДРБ; норматив не упоминается</w:t>
            </w:r>
          </w:p>
        </w:tc>
      </w:tr>
      <w:tr>
        <w:trPr>
          <w:cantSplit/>
        </w:trPr>
        <w:tc>
          <w:tcPr>
            <w:tcW w:type="dxa" w:w="28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Light-обследование региона</w:t>
            </w:r>
          </w:p>
        </w:tc>
        <w:tc>
          <w:tcPr>
            <w:tcW w:type="dxa" w:w="27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 рабочих дней, ПМО</w:t>
            </w:r>
          </w:p>
        </w:tc>
        <w:tc>
          <w:tcPr>
            <w:tcW w:type="dxa" w:w="35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Этап в дереве процессов слоя А отсутствует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Разработка технической спецификации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 р. д.; при нестандартном решении — до 1 месяца. Согласование в Jira всеми участниками (RnD, IT, Адиком, Dev, ФинБлок, ОМТО)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Отсутствует. При этом проблемы № 2 и № 3 слоя А — о непроверенной готовности продукта — прямо касаются этого этапа</w:t>
            </w:r>
          </w:p>
        </w:tc>
      </w:tr>
      <w:tr>
        <w:trPr>
          <w:cantSplit/>
        </w:trPr>
        <w:tc>
          <w:tcPr>
            <w:tcW w:type="dxa" w:w="28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Разработка сметы расходов</w:t>
            </w:r>
          </w:p>
        </w:tc>
        <w:tc>
          <w:tcPr>
            <w:tcW w:type="dxa" w:w="27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 р. д., ПМО совместно с участниками</w:t>
            </w:r>
          </w:p>
        </w:tc>
        <w:tc>
          <w:tcPr>
            <w:tcW w:type="dxa" w:w="35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Отсутствует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Разработка и утверждение ФЭМ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ДРБ совместно с ПЭО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 слое А ФЭМ отнесена к зоне ДУП и Финблока; ПЭО как владелец не назван</w:t>
            </w:r>
          </w:p>
        </w:tc>
      </w:tr>
      <w:tr>
        <w:trPr>
          <w:cantSplit/>
        </w:trPr>
        <w:tc>
          <w:tcPr>
            <w:tcW w:type="dxa" w:w="28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Передача документации по проекту в ПМО</w:t>
            </w:r>
          </w:p>
        </w:tc>
        <w:tc>
          <w:tcPr>
            <w:tcW w:type="dxa" w:w="27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 дней со дня заключения договора. Закрытый перечень: бизнес-план, ФЭМ, реестр заинтересованных сторон, заключения акимата, подписанный ГП список объектов, протоколы Комиссии, договор с уставом и сметой</w:t>
            </w:r>
          </w:p>
        </w:tc>
        <w:tc>
          <w:tcPr>
            <w:tcW w:type="dxa" w:w="35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Проблема № 1: «отсутствие полного пакета документов и утверждённой адресной программы приводит к большим потерям времени»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Разработка и утверждение устава проекта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 р. д. со дня получения документации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Описано как задача филиала «по поручению ДУП», без срока</w:t>
            </w:r>
          </w:p>
        </w:tc>
      </w:tr>
      <w:tr>
        <w:trPr>
          <w:cantSplit/>
        </w:trPr>
        <w:tc>
          <w:tcPr>
            <w:tcW w:type="dxa" w:w="28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Разработка и утверждение плана проекта</w:t>
            </w:r>
          </w:p>
        </w:tc>
        <w:tc>
          <w:tcPr>
            <w:tcW w:type="dxa" w:w="27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 р. д. со дня получения документации</w:t>
            </w:r>
          </w:p>
        </w:tc>
        <w:tc>
          <w:tcPr>
            <w:tcW w:type="dxa" w:w="35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То же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Формирование плана закупок и бюджета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 р. д. со дня утверждения плана, Финблок и ОМТО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Проблема № 13 — длительность закупочных процедур; норматив по формированию плана закупок не учтён</w:t>
            </w:r>
          </w:p>
        </w:tc>
      </w:tr>
      <w:tr>
        <w:trPr>
          <w:cantSplit/>
        </w:trPr>
        <w:tc>
          <w:tcPr>
            <w:tcW w:type="dxa" w:w="28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Получение финансирования проекта</w:t>
            </w:r>
          </w:p>
        </w:tc>
        <w:tc>
          <w:tcPr>
            <w:tcW w:type="dxa" w:w="27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До 2 месяцев со дня заключения договора, Финблок</w:t>
            </w:r>
          </w:p>
        </w:tc>
        <w:tc>
          <w:tcPr>
            <w:tcW w:type="dxa" w:w="35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Отсутствует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Открытие филиала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До 1 месяца, ПМО совместно с юрблоком и HR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RACI-матрица помечает подпроцесс 3.2 как «ничья зона»: «ни в одной из четырёх ДИ обязанность не встречается»</w:t>
            </w:r>
          </w:p>
        </w:tc>
      </w:tr>
      <w:tr>
        <w:trPr>
          <w:cantSplit/>
        </w:trPr>
        <w:tc>
          <w:tcPr>
            <w:tcW w:type="dxa" w:w="28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Обследование региона (полное)</w:t>
            </w:r>
          </w:p>
        </w:tc>
        <w:tc>
          <w:tcPr>
            <w:tcW w:type="dxa" w:w="27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 р. д., ПМО</w:t>
            </w:r>
          </w:p>
        </w:tc>
        <w:tc>
          <w:tcPr>
            <w:tcW w:type="dxa" w:w="35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Отсутствует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  <w:bCs/>
        </w:rPr>
        <w:t xml:space="preserve">Вывод по разделу. </w:t>
      </w:r>
      <w:r>
        <w:t xml:space="preserve">Регламент инициации существует, содержит нормативные сроки по девяти этапам и закрытый перечень передаваемых документов. Проблема № 1 слоя А — не отсутствие процесса, а его неисполнение. Находка RACI-матрицы о «ничьей зоне» по открытию филиала прямо закрывается регламентом: владелец назван, срок установлен, соисполнители определены. Дополнительно регламент даёт ответы на несколько вопросов из раздела «неясные термины» слоя А.</w:t>
      </w:r>
    </w:p>
    <w:p>
      <w:pPr>
        <w:pStyle w:val="Heading1"/>
        <w:spacing w:after="160" w:before="320"/>
      </w:pPr>
      <w:r>
        <w:rPr>
          <w:b/>
          <w:bCs/>
          <w:color w:val="1A1A1A"/>
          <w:sz w:val="28"/>
          <w:szCs w:val="28"/>
        </w:rPr>
        <w:t xml:space="preserve">4. Сопоставление модели ответственности</w:t>
      </w:r>
    </w:p>
    <w:p>
      <w:pPr>
        <w:spacing w:after="120" w:line="276"/>
      </w:pPr>
      <w:r>
        <w:t xml:space="preserve">Слой B выстраивает ответственность вокруг филиала как проектной единицы. Каждая из девяти ролей филиала получает чек-лист по единой рамке из десяти областей управления проектом: внутренние трудовые ресурсы, внешние трудовые ресурсы, сроки, стоимость, качество, закупки, риски, коммуникации, содержание, интеграция. Каждая строка чек-листа требует конкретного артефакта («Результат») и допускает бинарную проверку («Соответствие: да/нет»).</w:t>
      </w:r>
    </w:p>
    <w:p>
      <w:pPr>
        <w:spacing w:after="120" w:line="276"/>
      </w:pPr>
      <w:r>
        <w:t xml:space="preserve">Слой А выстраивает ответственность вокруг ДУП: четыре сквозных процесса, RACI по подпроцессам, разделение блока реализации и блока сопровождения между двумя заместителями директора.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300"/>
        <w:gridCol w:w="3350"/>
        <w:gridCol w:w="3350"/>
      </w:tblGrid>
      <w:tr>
        <w:trPr>
          <w:tblHeader/>
        </w:trPr>
        <w:tc>
          <w:tcPr>
            <w:tcW w:type="dxa" w:w="23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Аспект</w:t>
            </w:r>
          </w:p>
        </w:tc>
        <w:tc>
          <w:tcPr>
            <w:tcW w:type="dxa" w:w="335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Слой B (2023)</w:t>
            </w:r>
          </w:p>
        </w:tc>
        <w:tc>
          <w:tcPr>
            <w:tcW w:type="dxa" w:w="335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Слой А (2026)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Центр управления проектом</w:t>
            </w:r>
          </w:p>
        </w:tc>
        <w:tc>
          <w:tcPr>
            <w:tcW w:type="dxa" w:w="3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Филиал; ДУП — координатор рисков и сторона согласования плана коммуникаций</w:t>
            </w:r>
          </w:p>
        </w:tc>
        <w:tc>
          <w:tcPr>
            <w:tcW w:type="dxa" w:w="3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ДУП; филиал — исполнитель по поручению курирующего менеджера</w:t>
            </w:r>
          </w:p>
        </w:tc>
      </w:tr>
      <w:tr>
        <w:trPr>
          <w:cantSplit/>
        </w:trPr>
        <w:tc>
          <w:tcPr>
            <w:tcW w:type="dxa" w:w="2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Рамка структурирования</w:t>
            </w:r>
          </w:p>
        </w:tc>
        <w:tc>
          <w:tcPr>
            <w:tcW w:type="dxa" w:w="335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Десять областей управления проектом (рамка PMBOK), единая для всех ролей</w:t>
            </w:r>
          </w:p>
        </w:tc>
        <w:tc>
          <w:tcPr>
            <w:tcW w:type="dxa" w:w="335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Четыре сквозных процесса ДУП плюс раздел «чужих» процессов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Форма контроля</w:t>
            </w:r>
          </w:p>
        </w:tc>
        <w:tc>
          <w:tcPr>
            <w:tcW w:type="dxa" w:w="3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Чек-лист с перечнем обязательных артефактов и бинарной проверкой соответствия</w:t>
            </w:r>
          </w:p>
        </w:tc>
        <w:tc>
          <w:tcPr>
            <w:tcW w:type="dxa" w:w="3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RACI-матрица с распределением ролей R/A/C/I</w:t>
            </w:r>
          </w:p>
        </w:tc>
      </w:tr>
      <w:tr>
        <w:trPr>
          <w:cantSplit/>
        </w:trPr>
        <w:tc>
          <w:tcPr>
            <w:tcW w:type="dxa" w:w="2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Инструмент оценки персонала</w:t>
            </w:r>
          </w:p>
        </w:tc>
        <w:tc>
          <w:tcPr>
            <w:tcW w:type="dxa" w:w="335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ОКР, утверждаемые Управляющим комитетом и директором филиала, с отчётом об исполнении</w:t>
            </w:r>
          </w:p>
        </w:tc>
        <w:tc>
          <w:tcPr>
            <w:tcW w:type="dxa" w:w="335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Отсутствует. В проектах ДИ нет ни ОКР, ни KPI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Управление рисками</w:t>
            </w:r>
          </w:p>
        </w:tc>
        <w:tc>
          <w:tcPr>
            <w:tcW w:type="dxa" w:w="3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Ежемесячный актуализированный реестр рисков по методологии компании, рассылка через Documentolog владельцам рисков; ДУП назначен координатором рисков</w:t>
            </w:r>
          </w:p>
        </w:tc>
        <w:tc>
          <w:tcPr>
            <w:tcW w:type="dxa" w:w="3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Риски указаны как поле карточки проекта на платформе; процесс не описан</w:t>
            </w:r>
          </w:p>
        </w:tc>
      </w:tr>
      <w:tr>
        <w:trPr>
          <w:cantSplit/>
        </w:trPr>
        <w:tc>
          <w:tcPr>
            <w:tcW w:type="dxa" w:w="23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Извлечённые уроки</w:t>
            </w:r>
          </w:p>
        </w:tc>
        <w:tc>
          <w:tcPr>
            <w:tcW w:type="dxa" w:w="335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Электронный журнал извлечённых уроков — обязательный артефакт у пяти ролей; журнал нештатных инцидентов у главного инженера; аналитический отчёт систематических ошибок у специалиста техподдержки</w:t>
            </w:r>
          </w:p>
        </w:tc>
        <w:tc>
          <w:tcPr>
            <w:tcW w:type="dxa" w:w="335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Проблема № 9: обратная связь от эксплуатации к владельцам ТЗ и закупкам отсутствует (кейс «хомутов»)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Хранение документации</w:t>
            </w:r>
          </w:p>
        </w:tc>
        <w:tc>
          <w:tcPr>
            <w:tcW w:type="dxa" w:w="3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«Матрица документов» — оригинал на бумаге, копия Word/Excel и скан PDF на Google Диске</w:t>
            </w:r>
          </w:p>
        </w:tc>
        <w:tc>
          <w:tcPr>
            <w:tcW w:type="dxa" w:w="3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Единая карточка проекта в SimBase (предложение, не внедрено)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  <w:bCs/>
        </w:rPr>
        <w:t xml:space="preserve">Вывод по разделу. </w:t>
      </w:r>
      <w:r>
        <w:t xml:space="preserve">Смена парадигмы не оформлена ни одним решением, обнаруживаемым в папке. Она произошла фактически. Следствие: контрольный контур слоя B (чек-листы, ОКР, реестры рисков, журналы уроков) привязан к ролям филиала, тогда как ответственность за результат перешла к ДУП. Куратор проекта отвечает за результат, но не владеет инструментами контроля — они принадлежат директору филиала. Это структурное объяснение проблемы № 8 слоя А («размытая ответственность»), которого в самом отчёте нет.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1A1A"/>
          <w:sz w:val="28"/>
          <w:szCs w:val="28"/>
        </w:rPr>
        <w:t xml:space="preserve">5. Реестр узких мест слоя А в проверке слоем B</w:t>
      </w:r>
    </w:p>
    <w:p>
      <w:pPr>
        <w:spacing w:after="120" w:line="276"/>
      </w:pPr>
      <w:r>
        <w:t xml:space="preserve">Каждая из пятнадцати проблем отчёта проверена на наличие нормативного покрытия в слое B. Классификация причин: «неисполнение» — регламент есть и по существу актуален; «устаревание» — регламент есть, но привязан к упразднённым структурам, лицам или системам; «пробел» — нормативного покрытия нет; «новый риск» — проблема порождена переходом от слоя B к слою А.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450"/>
        <w:gridCol w:w="3050"/>
        <w:gridCol w:w="3800"/>
        <w:gridCol w:w="1700"/>
      </w:tblGrid>
      <w:tr>
        <w:trPr>
          <w:tblHeader/>
        </w:trPr>
        <w:tc>
          <w:tcPr>
            <w:tcW w:type="dxa" w:w="45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05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Проблема по отчёту слоя А</w:t>
            </w:r>
          </w:p>
        </w:tc>
        <w:tc>
          <w:tcPr>
            <w:tcW w:type="dxa" w:w="38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Покрытие в слое B</w:t>
            </w:r>
          </w:p>
        </w:tc>
        <w:tc>
          <w:tcPr>
            <w:tcW w:type="dxa" w:w="17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Неполные входные данные при передаче проекта из ДРБ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Полное. Алгоритм ГЧП: передача в 5 дней, закрытый перечень из семи позиций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Неисполнение</w:t>
            </w:r>
          </w:p>
        </w:tc>
      </w:tr>
      <w:tr>
        <w:trPr>
          <w:cantSplit/>
        </w:trPr>
        <w:tc>
          <w:tcPr>
            <w:tcW w:type="dxa" w:w="45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05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Продукт передаётся в реализацию без завершённого пилота</w:t>
            </w:r>
          </w:p>
        </w:tc>
        <w:tc>
          <w:tcPr>
            <w:tcW w:type="dxa" w:w="38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Отсутствует. Согласование техспеки с RnD, IT, Dev существует, но относится к решению проекта, а не к готовности продукта</w:t>
            </w:r>
          </w:p>
        </w:tc>
        <w:tc>
          <w:tcPr>
            <w:tcW w:type="dxa" w:w="17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Пробел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Нет этапа подтверждения готовности продукта перед выводом на продажу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Отсутствует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Пробел</w:t>
            </w:r>
          </w:p>
        </w:tc>
      </w:tr>
      <w:tr>
        <w:trPr>
          <w:cantSplit/>
        </w:trPr>
        <w:tc>
          <w:tcPr>
            <w:tcW w:type="dxa" w:w="45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05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Проекты, инициированные в обход ДУП</w:t>
            </w:r>
          </w:p>
        </w:tc>
        <w:tc>
          <w:tcPr>
            <w:tcW w:type="dxa" w:w="38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Косвенное. Регламент делает передачу в ПМО обязательным этапом; обход есть нарушение регламента</w:t>
            </w:r>
          </w:p>
        </w:tc>
        <w:tc>
          <w:tcPr>
            <w:tcW w:type="dxa" w:w="17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Неисполнение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Внешние партнёры эскалируют напрямую топ-менеджменту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Частичное. План коммуникаций проекта согласуется с ДУП и утверждается директором филиала, но канал внешних претензий не описан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Пробел</w:t>
            </w:r>
          </w:p>
        </w:tc>
      </w:tr>
      <w:tr>
        <w:trPr>
          <w:cantSplit/>
        </w:trPr>
        <w:tc>
          <w:tcPr>
            <w:tcW w:type="dxa" w:w="45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05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Прогноз поступлений не формализован</w:t>
            </w:r>
          </w:p>
        </w:tc>
        <w:tc>
          <w:tcPr>
            <w:tcW w:type="dxa" w:w="38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Частичное. Чек-листы требуют план доходов и расходов на весь срок проекта и ежемесячный отчёт о стоимости; периодичность обмена с Финблоком не установлена</w:t>
            </w:r>
          </w:p>
        </w:tc>
        <w:tc>
          <w:tcPr>
            <w:tcW w:type="dxa" w:w="17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Пробел + устаревание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Прогноз расходов ДУП — Финблок не налажен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Частичное, аналогично п. 6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Пробел</w:t>
            </w:r>
          </w:p>
        </w:tc>
      </w:tr>
      <w:tr>
        <w:trPr>
          <w:cantSplit/>
        </w:trPr>
        <w:tc>
          <w:tcPr>
            <w:tcW w:type="dxa" w:w="45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05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Размытая ответственность куратора проекта</w:t>
            </w:r>
          </w:p>
        </w:tc>
        <w:tc>
          <w:tcPr>
            <w:tcW w:type="dxa" w:w="38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Полное для прежней модели: девять ролей, десять областей, артефакт на каждую строку. Не переиздано под роль куратора ДУП</w:t>
            </w:r>
          </w:p>
        </w:tc>
        <w:tc>
          <w:tcPr>
            <w:tcW w:type="dxa" w:w="17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Устаревание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Нет обратной связи от эксплуатации к ТЗ и закупкам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Полное. Журнал извлечённых уроков у пяти ролей, журнал нештатных инцидентов, аналитический отчёт систематических ошибок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Неисполнение</w:t>
            </w:r>
          </w:p>
        </w:tc>
      </w:tr>
      <w:tr>
        <w:trPr>
          <w:cantSplit/>
        </w:trPr>
        <w:tc>
          <w:tcPr>
            <w:tcW w:type="dxa" w:w="45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05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Устаревшая методика поверки оборудования</w:t>
            </w:r>
          </w:p>
        </w:tc>
        <w:tc>
          <w:tcPr>
            <w:tcW w:type="dxa" w:w="38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Отсутствует (методика вне периметра папки)</w:t>
            </w:r>
          </w:p>
        </w:tc>
        <w:tc>
          <w:tcPr>
            <w:tcW w:type="dxa" w:w="17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Пробел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Нормативы стоимости в ФЭМ не актуализируются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Частичное. Владелец ФЭМ определён — ДРБ совместно с ПЭО; «калькулятор финальной версии» назван артефактом. Процедуры регулярной актуализации нет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Пробел + ошибка адресации в слое А</w:t>
            </w:r>
          </w:p>
        </w:tc>
      </w:tr>
      <w:tr>
        <w:trPr>
          <w:cantSplit/>
        </w:trPr>
        <w:tc>
          <w:tcPr>
            <w:tcW w:type="dxa" w:w="45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05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Фактический объём переносов расходится с ФЭМ</w:t>
            </w:r>
          </w:p>
        </w:tc>
        <w:tc>
          <w:tcPr>
            <w:tcW w:type="dxa" w:w="38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Отсутствует</w:t>
            </w:r>
          </w:p>
        </w:tc>
        <w:tc>
          <w:tcPr>
            <w:tcW w:type="dxa" w:w="17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Пробел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Длительные закупочные процедуры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Частичное. Нормирован смежный этап — план закупок и бюджет за 10 р. д.; сама процедура не нормирована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Пробел</w:t>
            </w:r>
          </w:p>
        </w:tc>
      </w:tr>
      <w:tr>
        <w:trPr>
          <w:cantSplit/>
        </w:trPr>
        <w:tc>
          <w:tcPr>
            <w:tcW w:type="dxa" w:w="45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05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Платформа портфеля проектов работает не полностью</w:t>
            </w:r>
          </w:p>
        </w:tc>
        <w:tc>
          <w:tcPr>
            <w:tcW w:type="dxa" w:w="38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 применимо: слой B работал на другом стеке (Jira, Confluence, Documentolog, Google Таблицы, Zabbix, Grafana, Webokr, 1С)</w:t>
            </w:r>
          </w:p>
        </w:tc>
        <w:tc>
          <w:tcPr>
            <w:tcW w:type="dxa" w:w="17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Новый риск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Оргструктура и ДИ в процессе изменения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Чек-листы утверждены под прежнюю структуру и после реорганизации теряют адресатов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Новый риск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t xml:space="preserve">Итог: полное покрытие — 3 позиции, частичное — 5, отсутствует — 5, порождено переходом — 2. По типу причин: неисполнение — 3, устаревание — 1 (плюс два смешанных случая), пробел — 9 (из них 5 частично покрыты), новый риск — 2.</w:t>
      </w:r>
    </w:p>
    <w:p>
      <w:pPr>
        <w:spacing w:after="120" w:line="276"/>
      </w:pPr>
      <w:r>
        <w:t xml:space="preserve">Практический смысл распределения: примерно половина реестра узких мест требует не разработки, а восстановления исполнения и переиздания. Только пять позиций — № 2, 3, 10, 12 и частично 5 — представляют собой подлинные пробелы, где регламент действительно нужно создавать с нуля.</w:t>
      </w:r>
    </w:p>
    <w:p>
      <w:pPr>
        <w:pStyle w:val="Heading1"/>
        <w:spacing w:after="160" w:before="320"/>
      </w:pPr>
      <w:r>
        <w:rPr>
          <w:b/>
          <w:bCs/>
          <w:color w:val="1A1A1A"/>
          <w:sz w:val="28"/>
          <w:szCs w:val="28"/>
        </w:rPr>
        <w:t xml:space="preserve">6. Фактура, которую слой B добавляет к анализу</w:t>
      </w:r>
    </w:p>
    <w:p>
      <w:pPr>
        <w:pStyle w:val="Heading2"/>
        <w:spacing w:after="120" w:before="240"/>
      </w:pPr>
      <w:r>
        <w:rPr>
          <w:b/>
          <w:bCs/>
          <w:color w:val="2A2A2A"/>
          <w:sz w:val="24"/>
          <w:szCs w:val="24"/>
        </w:rPr>
        <w:t xml:space="preserve">6.1. Финансовая структура договора ГЧП</w:t>
      </w:r>
    </w:p>
    <w:p>
      <w:pPr>
        <w:spacing w:after="120" w:line="276"/>
      </w:pPr>
      <w:r>
        <w:t xml:space="preserve">Чек-листы главного менеджера проекта и бухгалтера филиала раскрывают трёхкомпонентную структуру платежей по договору ГЧП — ВУ, КИЗ, КОЗ (по контексту: вознаграждение за доступность или эксплуатацию, компенсация инвестиционных затрат, компенсация операционных затрат; точные расшифровки требуют подтверждения). По каждой компоненте задан ежемесячный комплект подтверждающих документов: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КОЗ: счёт на оплату и счёт-фактура (оригиналы), подписанный и заверенный акт выполненных работ для госпартнёра, копии подтверждающих документов операционных расходов, письмо госпартнёру с входящим номером.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ВУ: отчёт о работе системы, сгенерированный Zabbix; акт выполненных работ; акт соответствия технических и эксплуатационных характеристик объекта ГЧП; счёт и счёт-фактура; письмо госпартнёру с входящим номером.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КИЗ: счёт-фактура на сумму инвестиционных затрат, счёт на оплату.</w:t>
      </w:r>
    </w:p>
    <w:p>
      <w:pPr>
        <w:spacing w:after="120" w:line="276"/>
      </w:pPr>
      <w:r>
        <w:t xml:space="preserve">Дополнительно установлен внутренний срок: первичная документация передаётся в бухгалтерию до 15-го числа для формирования КОЗ.</w:t>
      </w:r>
    </w:p>
    <w:p>
      <w:pPr>
        <w:spacing w:after="120" w:line="276"/>
      </w:pPr>
      <w:r>
        <w:rPr>
          <w:b/>
          <w:bCs/>
        </w:rPr>
        <w:t xml:space="preserve">Значение находки. </w:t>
      </w:r>
      <w:r>
        <w:t xml:space="preserve">Отчёт слоя А описывает поступления от госпартнёра как единый поток, приходящий «ориентировочно с 15 по 25 число», и констатирует, что процесс прогноза не формализован. В действительности поступление есть функция от трёх разных потоков документов с разными владельцами и разной природой. Автоматизация прогноза поступлений без учёта разделения ВУ, КИЗ и КОЗ даст модель, не соответствующую договорной конструкции. Это, вероятно, самый практически значимый результат сопоставления.</w:t>
      </w:r>
    </w:p>
    <w:p>
      <w:pPr>
        <w:pStyle w:val="Heading2"/>
        <w:spacing w:after="120" w:before="240"/>
      </w:pPr>
      <w:r>
        <w:rPr>
          <w:b/>
          <w:bCs/>
          <w:color w:val="2A2A2A"/>
          <w:sz w:val="24"/>
          <w:szCs w:val="24"/>
        </w:rPr>
        <w:t xml:space="preserve">6.2. Раскрытие терминов, вынесенных в слое А в «неясные»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000"/>
        <w:gridCol w:w="3400"/>
        <w:gridCol w:w="3600"/>
      </w:tblGrid>
      <w:tr>
        <w:trPr>
          <w:tblHeader/>
        </w:trPr>
        <w:tc>
          <w:tcPr>
            <w:tcW w:type="dxa" w:w="20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34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Статус в слое А</w:t>
            </w:r>
          </w:p>
        </w:tc>
        <w:tc>
          <w:tcPr>
            <w:tcW w:type="dxa" w:w="36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Что даёт слой B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ПМО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 упоминается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Прежнее наименование подразделения, чьи функции унаследовал ДУП. Все регламенты слоя B адресованы ПМО</w:t>
            </w:r>
          </w:p>
        </w:tc>
      </w:tr>
      <w:tr>
        <w:trPr>
          <w:cantSplit/>
        </w:trPr>
        <w:tc>
          <w:tcPr>
            <w:tcW w:type="dxa" w:w="20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ФЭМ</w:t>
            </w:r>
          </w:p>
        </w:tc>
        <w:tc>
          <w:tcPr>
            <w:tcW w:type="dxa" w:w="34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«Из контекста — финансово-экономическая модель, явно не расшифрована»</w:t>
            </w:r>
          </w:p>
        </w:tc>
        <w:tc>
          <w:tcPr>
            <w:tcW w:type="dxa" w:w="36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Подтверждено: «ФЭМ к бизнес-плану / бюджет проекта», владелец — ДРБ совместно с ПЭО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ОСУ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«Орган, утверждающий выход за рамки бюджета; требует подтверждения»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Подтверждена роль: на ОСУ выносятся проект договора, ФЭМ и бизнес-план; результат — протокол ОСУ. Полное наименование по-прежнему не раскрыто</w:t>
            </w:r>
          </w:p>
        </w:tc>
      </w:tr>
      <w:tr>
        <w:trPr>
          <w:cantSplit/>
        </w:trPr>
        <w:tc>
          <w:tcPr>
            <w:tcW w:type="dxa" w:w="20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ДРБ</w:t>
            </w:r>
          </w:p>
        </w:tc>
        <w:tc>
          <w:tcPr>
            <w:tcW w:type="dxa" w:w="34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«Вероятно департамент развития бизнеса»</w:t>
            </w:r>
          </w:p>
        </w:tc>
        <w:tc>
          <w:tcPr>
            <w:tcW w:type="dxa" w:w="36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Функционально подтверждено: бизнес-план, ФЭМ, квалификационный отбор, проект договора, экономэкспертиза, вынесение на ОСУ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ОЛЖА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 упоминается в отчёте; появляется в кадровой матрице и опроснике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Подразделение закупок ТРУ</w:t>
            </w:r>
          </w:p>
        </w:tc>
      </w:tr>
      <w:tr>
        <w:trPr>
          <w:cantSplit/>
        </w:trPr>
        <w:tc>
          <w:tcPr>
            <w:tcW w:type="dxa" w:w="20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ПЭО, ОМТО, Адиком</w:t>
            </w:r>
          </w:p>
        </w:tc>
        <w:tc>
          <w:tcPr>
            <w:tcW w:type="dxa" w:w="34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Отсутствуют</w:t>
            </w:r>
          </w:p>
        </w:tc>
        <w:tc>
          <w:tcPr>
            <w:tcW w:type="dxa" w:w="36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Участники процесса инициации: планово-экономический отдел (ФЭМ), материально-техническое обеспечение (план закупок), техническое направление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ВУ, КИЗ, КОЗ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Отсутствуют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Три категории платежей по договору ГЧП (см. п. 6.1)</w:t>
            </w:r>
          </w:p>
        </w:tc>
      </w:tr>
      <w:tr>
        <w:trPr>
          <w:cantSplit/>
        </w:trPr>
        <w:tc>
          <w:tcPr>
            <w:tcW w:type="dxa" w:w="20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«Куркем Телеком»</w:t>
            </w:r>
          </w:p>
        </w:tc>
        <w:tc>
          <w:tcPr>
            <w:tcW w:type="dxa" w:w="34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«Возможна ошибка распознавания»</w:t>
            </w:r>
          </w:p>
        </w:tc>
        <w:tc>
          <w:tcPr>
            <w:tcW w:type="dxa" w:w="36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ТОО «Көркем Телеком»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A2A2A"/>
          <w:sz w:val="24"/>
          <w:szCs w:val="24"/>
        </w:rPr>
        <w:t xml:space="preserve">6.3. Нормативные сроки, отсутствующие в слое 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Ответ на официальное письмо по штрафам — 14 дней со дня поступления запроса (чек-лист менеджера проекта).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Передача первичной документации в бухгалтерию — до 15-го числа месяца.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Ежемесячная периодичность: реестр рисков, отчёт о стоимости проекта, отчёты по работе АПК и ОВН, отчёт по кредиторской задолженности.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Ежедневная периодичность: контроль работоспособности АПК, ОВН и камер интеграции через Grafana, Zabbix, Webokr; отчёт по неработающим АПК за 24 часа.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1A1A"/>
          <w:sz w:val="28"/>
          <w:szCs w:val="28"/>
        </w:rPr>
        <w:t xml:space="preserve">7. Системный ландшафт: разрыв между слоями</w:t>
      </w:r>
    </w:p>
    <w:p>
      <w:pPr>
        <w:spacing w:after="120" w:line="276"/>
      </w:pPr>
      <w:r>
        <w:t xml:space="preserve">Слой B опирается на связку систем, каждая из которых закреплена в утверждённом документе как обязательная. Слой А описывает целевое состояние вокруг единой платформы SimBase и фиксирует незавершённость интеграций.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Система</w:t>
            </w:r>
          </w:p>
        </w:tc>
        <w:tc>
          <w:tcPr>
            <w:tcW w:type="dxa" w:w="34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Роль в слое B</w:t>
            </w:r>
          </w:p>
        </w:tc>
        <w:tc>
          <w:tcPr>
            <w:tcW w:type="dxa" w:w="3400"/>
            <w:shd w:fill="E8E8E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Положение в слое А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Jira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Канал согласования технической спецификации и сметы всеми участниками проекта; отчёт о выполнении задач бэк-офисом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Названа как интеграция платформы портфеля по блоку задач</w:t>
            </w:r>
          </w:p>
        </w:tc>
      </w:tr>
      <w:tr>
        <w:trPr>
          <w:cantSplit/>
        </w:trPr>
        <w:tc>
          <w:tcPr>
            <w:tcW w:type="dxa" w:w="22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Documentolog (СЭД)</w:t>
            </w:r>
          </w:p>
        </w:tc>
        <w:tc>
          <w:tcPr>
            <w:tcW w:type="dxa" w:w="34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Регистрация и рассылка реестров рисков, ответов на письма, приказов; утверждение документов ЭЦП</w:t>
            </w:r>
          </w:p>
        </w:tc>
        <w:tc>
          <w:tcPr>
            <w:tcW w:type="dxa" w:w="34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 упоминается ни разу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Zabbix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Источник отчёта о работе системы для подтверждения ВУ — то есть элемент платёжного цикла, а не только мониторинг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Упомянут как проблема незавершённой интеграции</w:t>
            </w:r>
          </w:p>
        </w:tc>
      </w:tr>
      <w:tr>
        <w:trPr>
          <w:cantSplit/>
        </w:trPr>
        <w:tc>
          <w:tcPr>
            <w:tcW w:type="dxa" w:w="22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Grafana, Webokr</w:t>
            </w:r>
          </w:p>
        </w:tc>
        <w:tc>
          <w:tcPr>
            <w:tcW w:type="dxa" w:w="34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Ежедневный контроль работоспособности; доступ — обязательный артефакт шести ролей</w:t>
            </w:r>
          </w:p>
        </w:tc>
        <w:tc>
          <w:tcPr>
            <w:tcW w:type="dxa" w:w="34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 упоминаются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Google Таблицы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Реестр договоров, таблица работоспособности АПК и ОВН, реестр оплат, сводная таблица ППР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Рассматриваются как проявление ручного труда, подлежащего замене</w:t>
            </w:r>
          </w:p>
        </w:tc>
      </w:tr>
      <w:tr>
        <w:trPr>
          <w:cantSplit/>
        </w:trPr>
        <w:tc>
          <w:tcPr>
            <w:tcW w:type="dxa" w:w="22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1С</w:t>
            </w:r>
          </w:p>
        </w:tc>
        <w:tc>
          <w:tcPr>
            <w:tcW w:type="dxa" w:w="34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Доступ — артефакт чек-листа бухгалтера филиала</w:t>
            </w:r>
          </w:p>
        </w:tc>
        <w:tc>
          <w:tcPr>
            <w:tcW w:type="dxa" w:w="3400"/>
            <w:shd w:fill="F7F7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Названа как интеграция блока склада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SimBase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Отсутствует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Целевая единая карточка проекта; предложение из интервью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  <w:bCs/>
        </w:rPr>
        <w:t xml:space="preserve">Риск перехода. </w:t>
      </w:r>
      <w:r>
        <w:t xml:space="preserve">Zabbix и Documentolog в слое B выполняют не вспомогательную, а нормативную функцию: отчёт Zabbix входит в комплект документов для получения платежа, а Documentolog обеспечивает доказуемость направления реестра рисков и ответов госпартнёру. Перенос процессов в SimBase без переноса этих контролей означает утрату не удобства, а доказательственной базы по договору ГЧП. В дереве процессов и рекомендациях слоя А этот риск не отражён.</w:t>
      </w:r>
    </w:p>
    <w:p>
      <w:pPr>
        <w:pStyle w:val="Heading1"/>
        <w:spacing w:after="160" w:before="320"/>
      </w:pPr>
      <w:r>
        <w:rPr>
          <w:b/>
          <w:bCs/>
          <w:color w:val="1A1A1A"/>
          <w:sz w:val="28"/>
          <w:szCs w:val="28"/>
        </w:rPr>
        <w:t xml:space="preserve">8. Нормативно-правовая оценка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Действительность документов слоя B. Чек-листы изданы служебными записками СЗ/418 от 25.05.2023 и СЗ/420 от 29.05.2023, согласованы пятью руководителями, подписаны ЭЦП генерального директора и зарегистрированы в СЭД. Сведений об отмене нет. До принятия решения об отмене или переиздании они сохраняют силу внутреннего нормативного документа, а неисполнение их требований формально является дисциплинарным нарушением, а не «отсутствием процесса».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Коллизия при утверждении слоя А. Утверждение проектов ДИ по новой штатной структуре без одновременной отмены или переиздания чек-листов 2023 года создаёт два параллельно действующих набора требований к одним и тем же работам с разной адресацией ролей. Рекомендуется включить в приказ об утверждении новых ДИ пункт об отмене или переиздании документов слоя B.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Утрата адресатов. Чек-листы адресованы ролям прежней структуры (директор филиала, главный менеджер проекта, главный инженер, специалист ОКК, специалист техподдержки, бухгалтер филиала). Проекты ДИ слоя А описывают четыре роли центрального аппарата. Соответствия между наборами ролей нигде не установлено; при реорганизации часть обязанностей рискует потерять исполнителя.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Периметр юридических лиц. Кадровая матрица показывает, что позиции проектного управления распределены между ТОО «Көркем Телеком», ТОО «IP Технологии» и ЧК «Sergek Projects Ltd.», при этом ДИ утверждаются приказом генерального директора «Көркем Телеком», а конструкция «административный руководитель — директор филиала / функциональный руководитель — директор ДУП» пересекает границы работодателей. Основание функционального подчинения и распорядительных полномочий за пределами периметра работодателя в самих документах не раскрыто. Вопрос требует отдельной проработки при утверждении новой структуры.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Подписант документов слоя B. ЭЦП, которой подписаны чек-листы, оформлена на владельца с указанием организации ТОО «Open Technologies Group» и электронного адреса домена otgroup.kz. Данное обстоятельство целесообразно проверить на предмет корректности реквизитов подписания внутренних документов «Көркем Телеком».</w:t>
      </w:r>
    </w:p>
    <w:p>
      <w:pPr>
        <w:pStyle w:val="Heading1"/>
        <w:spacing w:after="160" w:before="320"/>
      </w:pPr>
      <w:r>
        <w:rPr>
          <w:b/>
          <w:bCs/>
          <w:color w:val="1A1A1A"/>
          <w:sz w:val="28"/>
          <w:szCs w:val="28"/>
        </w:rPr>
        <w:t xml:space="preserve">9. Ограничения анализа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Методология внедрения объёмом 1313 страниц не прочитана — файл в 81 МБ превышает предел извлечения содержимого. Это крупнейший документ слоя B, и вероятно он содержит ответы на часть вопросов, отнесённых выше к пробелам. Любые выводы о наличии пробелов подлежат перепроверке после её изучения.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Слой А опирается на одно интервью с одним подразделением. Позиции ДРБ, Финблока, Закупок, Юридического блока и филиалов не собраны. Раздел Б дерева процессов («чужие процессы») в самом документе помечен как неверифицированный.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Расшифровки ВУ, КИЗ и КОЗ даны по контексту документов и подлежат подтверждению у Финблока.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Не установлено, действуют ли документы слоя B фактически: отсутствуют сведения о том, ведутся ли реестры рисков, журналы извлечённых уроков и матрица документов. Сопоставление проведено по нормативному содержанию, а не по практике исполнения.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1A1A"/>
          <w:sz w:val="28"/>
          <w:szCs w:val="28"/>
        </w:rPr>
        <w:t xml:space="preserve">10. Выводы и рекомендации</w:t>
      </w:r>
    </w:p>
    <w:p>
      <w:pPr>
        <w:pStyle w:val="Heading2"/>
        <w:spacing w:after="120" w:before="240"/>
      </w:pPr>
      <w:r>
        <w:rPr>
          <w:b/>
          <w:bCs/>
          <w:color w:val="2A2A2A"/>
          <w:sz w:val="24"/>
          <w:szCs w:val="24"/>
        </w:rPr>
        <w:t xml:space="preserve">10.1. Выводы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Компания располагает развитой нормативной базой процессов проектного управления, созданной в 2020–2023 годах, утверждённой и не отменённой. Обследование 2026 года проведено без её учёта, вследствие чего часть выводов об отсутствии процессов не соответствует действительности.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Основная проблема ДУП, судя по сопоставлению, лежит не в области проектирования процессов, а в области исполнения и актуализации: регламенты существуют, но привязаны к упразднённым подразделениям, ушедшим должностным лицам и частично заменённым информационным системам.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Между слоями произошла незафиксированная смена модели управления — от филиалоцентричной к департаментоцентричной. Контрольный контур остался в прежней модели, ответственность переместилась в новую. Это структурная причина нескольких узких мест, зафиксированных в отчёте как самостоятельные проблемы.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Пять узких мест из пятнадцати являются подлинными пробелами и требуют разработки: подтверждение готовности продукта, канал внешних претензий, методика поверки, учёт фактического объёма переносов, нормирование закупочных процедур.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Переход на единую платформу несёт неучтённый риск утраты доказательственной базы по договорам ГЧП, поскольку в прежней модели отчёты Zabbix и регистрация в Documentolog входят в состав платёжных и претензионных комплектов документов.</w:t>
      </w:r>
    </w:p>
    <w:p>
      <w:pPr>
        <w:pStyle w:val="Heading2"/>
        <w:spacing w:after="120" w:before="240"/>
      </w:pPr>
      <w:r>
        <w:rPr>
          <w:b/>
          <w:bCs/>
          <w:color w:val="2A2A2A"/>
          <w:sz w:val="24"/>
          <w:szCs w:val="24"/>
        </w:rPr>
        <w:t xml:space="preserve">10.2. Рекомендации, первоочередные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Изучить методологию внедрения (1313 стр.) до начала любых работ по проектированию процессов. Технически — разбить файл или получить оглавление у владельца. Без этого шага любой вывод о пробеле остаётся гипотезой.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Сформировать реестр действующих внутренних нормативных документов по процессам ДУП со статусом каждого: действует и исполняется / действует и не исполняется / устарел по адресации / подлежит отмене. Кандидаты для включения — все документы слоя B.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Дополнить опросник директоров филиалов блоком проверки исполнения слоя B: известны ли респондентам алгоритм инициации и чек-листы 2023 года, ведутся ли реестр рисков, журнал извлечённых уроков и матрица документов, что препятствует исполнению. Без этого блока опрос измеряет восприятие процессов, но не судьбу действующих регламентов — то есть не проверяет главную гипотезу настоящего документа.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Переиздать алгоритм инициации проекта: заменить ПМО на ДУП, актуализировать утверждающих лиц, привести каналы согласования в соответствие с фактическим ИТ-ландшафтом, сохранив нормативные сроки этапов. Это переиздание, а не разработка.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Сопоставить роли: построить таблицу соответствия девяти ролей чек-листов 2023 года ролям новой структуры и явно указать, кто наследует каждую строку. Строки без наследника — предмет отдельного решения.</w:t>
      </w:r>
    </w:p>
    <w:p>
      <w:pPr>
        <w:pStyle w:val="Heading2"/>
        <w:spacing w:after="120" w:before="240"/>
      </w:pPr>
      <w:r>
        <w:rPr>
          <w:b/>
          <w:bCs/>
          <w:color w:val="2A2A2A"/>
          <w:sz w:val="24"/>
          <w:szCs w:val="24"/>
        </w:rPr>
        <w:t xml:space="preserve">10.3. Рекомендации, второго горизонта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t xml:space="preserve">Описать процедуру передачи проекта от блока реализации к блоку сопровождения (критерии готовности, комплект документов, акт передачи) — до утверждения новой структуры с двумя заместителями, а не после.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t xml:space="preserve">Разработать регламент подтверждения готовности продукта перед выводом на продажу — единственная зона, где слой B действительно не даёт основы.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t xml:space="preserve">При проектировании прогноза поступлений заложить раздельный учёт ВУ, КИЗ и КОЗ с привязкой к комплектам подтверждающих документов и внутреннему сроку 15-го числа.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t xml:space="preserve">При переносе процессов на единую платформу обеспечить сохранение нормативных функций Zabbix (отчёт для подтверждения ВУ) и Documentolog (доказуемость направления документов) либо их эквивалентную замену.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t xml:space="preserve">При утверждении новой структуры и ДИ отдельно проработать основание функционального подчинения между юридическими лицами группы.</w:t>
      </w:r>
    </w:p>
    <w:p>
      <w:pPr>
        <w:pBdr>
          <w:bottom w:val="single" w:color="999999" w:sz="6" w:space="1"/>
        </w:pBdr>
        <w:spacing w:after="200" w:before="120"/>
      </w:pPr>
    </w:p>
    <w:p>
      <w:pPr>
        <w:spacing w:after="120" w:line="276"/>
      </w:pPr>
      <w:r>
        <w:rPr>
          <w:i/>
          <w:iCs/>
          <w:sz w:val="18"/>
          <w:szCs w:val="18"/>
        </w:rPr>
        <w:t xml:space="preserve">Документ подготовлен по материалам папки Google Drive «ДУП» по состоянию на 25 августа 2026 г. Все выводы основаны исключительно на содержании файлов папки; фактическая практика исполнения процессов не проверялась.</w:t>
      </w:r>
    </w:p>
    <w:sectPr>
      <w:pgSz w:w="11906" w:h="16838" w:orient="portrait"/>
      <w:pgMar w:top="1134" w:right="992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Сопоставительный анализ слоёв А и B процессной документации ДУП</dc:title>
  <dc:creator>ДУП</dc:creator>
  <cp:lastModifiedBy>Un-named</cp:lastModifiedBy>
  <cp:revision>1</cp:revision>
  <dcterms:created xsi:type="dcterms:W3CDTF">2026-08-25T07:33:30.128Z</dcterms:created>
  <dcterms:modified xsi:type="dcterms:W3CDTF">2026-08-25T07:33:30.128Z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