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50"/>
        <w:jc w:val="center"/>
      </w:pPr>
      <w:r>
        <w:rPr>
          <w:b/>
          <w:bCs/>
          <w:sz w:val="22"/>
          <w:szCs w:val="22"/>
        </w:rPr>
        <w:t xml:space="preserve">ДЕПАРТАМЕНТ УПРАВЛЕНИЯ ПРОЕКТАМИ (ДУП)</w:t>
      </w:r>
    </w:p>
    <w:p>
      <w:pPr>
        <w:spacing w:after="140"/>
        <w:jc w:val="center"/>
      </w:pPr>
      <w:r>
        <w:rPr>
          <w:b/>
          <w:bCs/>
          <w:sz w:val="36"/>
          <w:szCs w:val="36"/>
        </w:rPr>
        <w:t xml:space="preserve">Сопоставительный анализ двух слоёв процессной документации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Редакция 2 — с учётом полного текста методологии</w:t>
      </w:r>
    </w:p>
    <w:p>
      <w:pPr>
        <w:spacing w:after="440"/>
        <w:jc w:val="center"/>
      </w:pPr>
      <w:r>
        <w:rPr>
          <w:i/>
          <w:iCs/>
          <w:sz w:val="22"/>
          <w:szCs w:val="22"/>
        </w:rPr>
        <w:t xml:space="preserve">Слой А — обследование 2026 года  ·  Слой B — нормативная база 2020–2023 гг.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6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Объект анализа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Содержимое папки Google Drive «ДУП» (14 файлов, две подпапки), включая методологию «Свод знаний по внедрению Сергек» объёмом 1313 страниц</w:t>
            </w:r>
          </w:p>
        </w:tc>
      </w:tr>
      <w:tr>
        <w:trPr>
          <w:cantSplit/>
        </w:trPr>
        <w:tc>
          <w:tcPr>
            <w:tcW w:type="dxa" w:w="2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Предмет анализа</w:t>
            </w:r>
          </w:p>
        </w:tc>
        <w:tc>
          <w:tcPr>
            <w:tcW w:type="dxa" w:w="6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Расхождения и пересечения между результатами процессного обследования 2026 г. и действующей нормативной базой компании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Метод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Сплошное чтение документов обоих слоёв; постраничная сверка каждого узкого места слоя А с текстом нормативной базы; классификация расхождений по типу причины</w:t>
            </w:r>
          </w:p>
        </w:tc>
      </w:tr>
      <w:tr>
        <w:trPr>
          <w:cantSplit/>
        </w:trPr>
        <w:tc>
          <w:tcPr>
            <w:tcW w:type="dxa" w:w="2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Отличие от редакции 1</w:t>
            </w:r>
          </w:p>
        </w:tc>
        <w:tc>
          <w:tcPr>
            <w:tcW w:type="dxa" w:w="6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Методология прочитана полностью. Главное ограничение первой редакции снято; реестр узких мест и центральный тезис пересмотрены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Организация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ТОО «Көркем Телеком» (с участием ТОО «IP Технологии», ЧК «Sergek Projects Ltd.»)</w:t>
            </w:r>
          </w:p>
        </w:tc>
      </w:tr>
      <w:tr>
        <w:trPr>
          <w:cantSplit/>
        </w:trPr>
        <w:tc>
          <w:tcPr>
            <w:tcW w:type="dxa" w:w="2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Дата</w:t>
            </w:r>
          </w:p>
        </w:tc>
        <w:tc>
          <w:tcPr>
            <w:tcW w:type="dxa" w:w="6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25 августа 2026 г.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Статус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Рабочий аналитический документ. Требует верификации у владельцев процессов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1. Резюме для руководства</w:t>
      </w:r>
    </w:p>
    <w:p>
      <w:pPr>
        <w:spacing w:after="120" w:line="276"/>
      </w:pPr>
      <w:r>
        <w:t xml:space="preserve">Папка «ДУП» содержит два независимо созданных слоя документации, разделённых пятью годами. Слой А (август 2026 г.) — результат нового процессного обследования: отчёт по интервью, дерево процессов, RACI-матрица, проекты должностных инструкций под новую штатную структуру, кадрово-компетентностная матрица, опросник директоров филиалов. Слой B (2020–2023 гг.) — действующая нормативная база: методология «Свод знаний по внедрению Сергек» на 1313 страниц, утверждённая приказом Председателя Правления от 15 января 2021 г.; алгоритм взаимодействия при инициации проекта ГЧП; чек-листы девяти ролей филиала, подписанные ЭЦП в мае 2023 года.</w:t>
      </w:r>
    </w:p>
    <w:p>
      <w:pPr>
        <w:spacing w:after="120" w:line="276"/>
      </w:pPr>
      <w:r>
        <w:rPr>
          <w:b/>
          <w:bCs/>
        </w:rPr>
        <w:t xml:space="preserve">Первый вывод. </w:t>
      </w:r>
      <w:r>
        <w:t xml:space="preserve">Двенадцать из пятнадцати узких мест, зафиксированных обследованием как проблемы процесса, имеют в слое B описанную процедуру с назначенным исполнителем, сроком исполнения и формой завершения. Подлинным нормативным пробелом остаётся один — подтверждение готовности продукта перед выводом на продажу. Это меняет предмет работы: не процессный инжиниринг, а восстановление исполнения и актуализация существующего свода.</w:t>
      </w:r>
    </w:p>
    <w:p>
      <w:pPr>
        <w:spacing w:after="120" w:line="276"/>
      </w:pPr>
      <w:r>
        <w:rPr>
          <w:b/>
          <w:bCs/>
        </w:rPr>
        <w:t xml:space="preserve">Второй вывод. </w:t>
      </w:r>
      <w:r>
        <w:t xml:space="preserve">Двухуровневая модель управления — проектный офис центрального аппарата координирует, проектный офис филиала исполняет — заложена методологией с 2021 года и описана детально: пункты 3.1 и 3.2 задают раздельные перечни работ проектного менеджера ЦА и проектного менеджера филиала. Роль, которую обследование 2026 года называет «куратор проекта» и признаёт размытой, в методологии описана точно. Проблема не в отсутствии описания, а в том, что из шести обязанностей менеджера ЦА — внедрение методологии, контроль работы филиала, оценка соответствия методологии, анализ функциональности системы в регионе, контроль проектной документации, ведение извлечённых уроков — фактически исполняется преимущественно вторая. Куратор остался с ответственностью, но без методологического и аудиторского инструментария, который ему полагается.</w:t>
      </w:r>
    </w:p>
    <w:p>
      <w:pPr>
        <w:spacing w:after="120" w:line="276"/>
      </w:pPr>
      <w:r>
        <w:rPr>
          <w:b/>
          <w:bCs/>
        </w:rPr>
        <w:t xml:space="preserve">Третий вывод. </w:t>
      </w:r>
      <w:r>
        <w:t xml:space="preserve">Контур контроля соответствия был спроектирован и запущен, после чего остановился. Раздел 4 методологии содержит три набора чек-листов аудита филиала и методику оценки его эффективности; результаты проверок приведены только за 2020 год по двум городам. За 2021–2026 годы данных нет. Инструмент диагностики, которого сейчас не хватает обследованию, лежит в самом документе неиспользованным.</w:t>
      </w:r>
    </w:p>
    <w:p>
      <w:pPr>
        <w:spacing w:after="120" w:line="276"/>
      </w:pPr>
      <w:r>
        <w:rPr>
          <w:b/>
          <w:bCs/>
        </w:rPr>
        <w:t xml:space="preserve">Четвёртый вывод. </w:t>
      </w:r>
      <w:r>
        <w:t xml:space="preserve">Слой B содержит фактуру, которую слой А не увидел: трёхкомпонентную структуру платежей по договору ГЧП (ВУ, КИЗ, КОЗ) со сроками выплат и комплектами подтверждающих документов, нормативы штатной численности филиала в зависимости от количества АПК, стадию закрытия проекта вплоть до передачи объекта в государственную собственность. Каждый из этих блоков прямо относится к задачам, которые обследование формулирует как нерешённые.</w:t>
      </w:r>
    </w:p>
    <w:p>
      <w:pPr>
        <w:spacing w:after="120" w:line="276"/>
      </w:pPr>
      <w:r>
        <w:t xml:space="preserve">Практическое следствие: до разработки новых регламентов и до утверждения новой штатной структуры необходимо провести ревизию действующей нормативной базы и хотя бы один аудит соответствия по её собственным чек-листам. Иначе компания получит третий слой документов поверх неисполняемого второго.</w:t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2. Состав слоёв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2.1. Слой А — процессное обследование 2026 года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300"/>
        <w:gridCol w:w="1400"/>
        <w:gridCol w:w="4300"/>
      </w:tblGrid>
      <w:tr>
        <w:trPr>
          <w:tblHeader/>
        </w:trPr>
        <w:tc>
          <w:tcPr>
            <w:tcW w:type="dxa" w:w="3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14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4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Назначение и статус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DUP_analiz_protsessov_interview1.docx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14.08.2026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Отчёт AS-IS по итогам первого интервью: два блока процессов, 15 узких мест, предложения участников, реестр неясных терминов, рекомендации в двух горизонтах. Черновой аналитический документ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dup_process_tree_2.html</w:t>
            </w:r>
          </w:p>
        </w:tc>
        <w:tc>
          <w:tcPr>
            <w:tcW w:type="dxa" w:w="1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18.08.2026</w:t>
            </w:r>
          </w:p>
        </w:tc>
        <w:tc>
          <w:tcPr>
            <w:tcW w:type="dxa" w:w="4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Дерево процессов, внутренняя версия 4. Раздел А — четыре сквозных процесса ДУП; раздел Б — пять «чужих» процессов. Рабочая визуализация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DUP_RACI_matritsa_1.xlsx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18.08.2026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RACI-матрица по дереву процессов, сверенная с ДИ и кадровой матрицей, с блоком ключевых находок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ДИ_ДУП_по_новой_штатке_по_шаблону.docx</w:t>
            </w:r>
          </w:p>
        </w:tc>
        <w:tc>
          <w:tcPr>
            <w:tcW w:type="dxa" w:w="1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14.08.2026</w:t>
            </w:r>
          </w:p>
        </w:tc>
        <w:tc>
          <w:tcPr>
            <w:tcW w:type="dxa" w:w="4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Четыре проекта ДИ: два заместителя директора, главный и младший менеджеры проектов. Не утверждены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matrix — 2026-08-14.xlsx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14.08.2026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Кадрово-компетентностная матрица на 19 позиций трёх юридических лиц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Опросник директоров филиалов</w:t>
            </w:r>
          </w:p>
        </w:tc>
        <w:tc>
          <w:tcPr>
            <w:tcW w:type="dxa" w:w="1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19–20.08.2026</w:t>
            </w:r>
          </w:p>
        </w:tc>
        <w:tc>
          <w:tcPr>
            <w:tcW w:type="dxa" w:w="4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Инструмент масштабирования обследования: 8 блоков, около 40 вопросов. Опубликован</w:t>
            </w:r>
          </w:p>
        </w:tc>
      </w:tr>
    </w:tbl>
    <w:p>
      <w:pPr>
        <w:spacing w:after="200" w:line="276"/>
      </w:pPr>
      <w:r>
        <w:t xml:space="preserve">Ни один документ слоя А не имеет статуса утверждённого.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2.2. Слой B — действующая нормативная база</w:t>
      </w:r>
    </w:p>
    <w:p>
      <w:pPr>
        <w:spacing w:after="120" w:line="276"/>
      </w:pPr>
      <w:r>
        <w:t xml:space="preserve">Слой B неоднороден: три документа различаются уровнем утверждения, и это различие определяет приоритет при коллизиях.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900"/>
        <w:gridCol w:w="2500"/>
        <w:gridCol w:w="3600"/>
      </w:tblGrid>
      <w:tr>
        <w:trPr>
          <w:tblHeader/>
        </w:trPr>
        <w:tc>
          <w:tcPr>
            <w:tcW w:type="dxa" w:w="29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25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Уровень утверждения</w:t>
            </w:r>
          </w:p>
        </w:tc>
        <w:tc>
          <w:tcPr>
            <w:tcW w:type="dxa" w:w="36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Методология «Свод знаний по внедрению Сергек», 1313 стр.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Приложение 1 к приказу Председателя Правления от 15.01.2021. Номер приказа в экспорте не проставлен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Полный операционный регламент жизненного цикла: пять стадий (инициирование, планирование, реализация, контроль, закрытие), рабочие потоки внутри каждой, процедуры с полями «Исполнитель», «Цель», «Срок», «Ресурсы», «Форма завершения». Навигатор по 21 роли</w:t>
            </w:r>
          </w:p>
        </w:tc>
      </w:tr>
      <w:tr>
        <w:trPr>
          <w:cantSplit/>
        </w:trPr>
        <w:tc>
          <w:tcPr>
            <w:tcW w:type="dxa" w:w="29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Чек-листы ролей филиала</w:t>
            </w:r>
          </w:p>
        </w:tc>
        <w:tc>
          <w:tcPr>
            <w:tcW w:type="dxa" w:w="2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Приказ генерального директора, СЗ/418 от 25.05.2023 и СЗ/420 от 29.05.2023, согласование пятью руководителями, ЭЦП в СЭД Documentolog</w:t>
            </w:r>
          </w:p>
        </w:tc>
        <w:tc>
          <w:tcPr>
            <w:tcW w:type="dxa" w:w="3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Девять ролей филиала по единой рамке из десяти областей управления проектом; на каждую строку — обязательный артефакт и бинарная проверка соответствия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Алгоритм взаимодействия при инициации проекта ГЧП v2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Гриф утверждения отсутствует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21 мероприятие от переговоров до реализации с ответственными и сроками. Дублирует раздел 1.1 методологии, но использует прежнее наименование подразделения (ПМО)</w:t>
            </w:r>
          </w:p>
        </w:tc>
      </w:tr>
      <w:tr>
        <w:trPr>
          <w:cantSplit/>
        </w:trPr>
        <w:tc>
          <w:tcPr>
            <w:tcW w:type="dxa" w:w="29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«Взаимодействие по инициации», 05.05.2021</w:t>
            </w:r>
          </w:p>
        </w:tc>
        <w:tc>
          <w:tcPr>
            <w:tcW w:type="dxa" w:w="2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Рабочий документ</w:t>
            </w:r>
          </w:p>
        </w:tc>
        <w:tc>
          <w:tcPr>
            <w:tcW w:type="dxa" w:w="3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Ранняя редакция того же процесса в виде матрицы документов с бюджетными источниками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Существенное наблюдение. </w:t>
      </w:r>
      <w:r>
        <w:t xml:space="preserve">Документы слоя B не являются черновиками, и сведений об их отмене в материалах нет. Методология утверждена на уровне Председателя Правления — это высший из обнаруженных уровней. Она же устанавливает порядок собственного изменения: правки первого и второго уровня структуры согласуются с директором Департамента по управлению проектами. Право инициировать пересмотр принадлежит ДУП.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3. Сопоставление по процессу инициации</w:t>
      </w:r>
    </w:p>
    <w:p>
      <w:pPr>
        <w:spacing w:after="120" w:line="276"/>
      </w:pPr>
      <w:r>
        <w:t xml:space="preserve">Отчёт слоя А фиксирует проблему № 1 — неполный пакет документов при передаче проекта из ДРБ в ДУП, ожидание адресной программы около полугода — и рекомендует «зафиксировать письменно минимальный пакет документов». Перечень существует в двух документах слоя B, причём в методологии он на одну позицию шире.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800"/>
        <w:gridCol w:w="2700"/>
        <w:gridCol w:w="3500"/>
      </w:tblGrid>
      <w:tr>
        <w:trPr>
          <w:tblHeader/>
        </w:trPr>
        <w:tc>
          <w:tcPr>
            <w:tcW w:type="dxa" w:w="28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Этап по слою B</w:t>
            </w:r>
          </w:p>
        </w:tc>
        <w:tc>
          <w:tcPr>
            <w:tcW w:type="dxa" w:w="27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Норматив</w:t>
            </w:r>
          </w:p>
        </w:tc>
        <w:tc>
          <w:tcPr>
            <w:tcW w:type="dxa" w:w="35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Что говорит слой 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Переговоры, предварительный список объектов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Инициация процесса, ответственный — ДРБ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Описано как presale ДРБ; норматив не упоминается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Методика расчёта состава проекта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ДРБ. Четыре варианта состава — максимальный, оптимальный, дорожной безопасности, минимальный; расчёт по шести компонентам (АПК линейные и перекрёстки, ОВН, интеграция, планшеты, экометеодатчики). Методология, стр. 24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Light-обследование региона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 рабочих дней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Этап в дереве процессов слоя А отсутствует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Разработка технической спецификации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 р. д.; при нестандартном решении — до 1 месяца. Согласование всеми участниками (RnD, IT, Адиком, Dev, ФинБлок, ОМТО). Методология отводит спецификации решения стр. 109–203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Отсутствует. При этом проблемы № 2 и № 3 слоя А — о непроверенной готовности продукта — касаются именно этого этапа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Разработка и утверждение ФЭМ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ДРБ совместно с ПЭО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ФЭМ отнесена к зоне ДУП и Финблока; ПЭО как владелец не назван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Передача документации в ДУП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 дней со дня заключения договора либо издания приказа. Восемь позиций: бизнес-план, ФЭМ, реестр заинтересованных сторон, заключения акимата, подписанный ГП список объектов, протоколы Комиссии, договор с уставом и сметой, информационный листок. Методология, стр. 60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Проблема № 1: «отсутствие полного пакета документов и утверждённой адресной программы приводит к большим потерям времени»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Устав и план проекта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 3 р. д. со дня получения документации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Описано как задача филиала «по поручению ДУП», без срока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Маркетинговый анализ цен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ДУП совместно с ОМТО, от 10 дней. 15 шагов: RFP, две итерации коммерческих предложений, сводная таблица, протокол экспертного совета, решение собрания руководителей. Стр. 362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Отсутствует. Проблема № 11 — неактуальные нормативы ФЭМ — решается именно этой процедурой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Формирование плана закупок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 р. д. после утверждения ФЭМ и плана проекта; каждая позиция привязана к статье ФЭМ. Стр. 365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Проблема № 13 — длительность закупочных процедур; нормативы не учтены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Определение источников финансирования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 месяца с даты заключения договора ГЧП; побанковский процесс от заявления до соглашения о кредитной линии. Стр. 366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Открытие филиала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1 месяца, совместно с юрблоком и HR. Оргструктура и штатное расписание — стр. 368–369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RACI-матрица помечает подпроцесс 3.2 как «ничья зона»: «ни в одной из четырёх ДИ обязанность не встречается»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Вывод по разделу. </w:t>
      </w:r>
      <w:r>
        <w:t xml:space="preserve">Процесс инициации нормирован по одиннадцати этапам. Проблема № 1 — не отсутствие процесса, а его неисполнение. Находка RACI о «ничьей зоне» закрывается напрямую: владелец назван, срок установлен, соисполнители определены. Расхождение между алгоритмом и методологией — в наименовании подразделения: методология использует актуальное «Департамент по управлению проектами», алгоритм сохраняет «ПМО».</w:t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4. Сопоставление модели ответственности</w:t>
      </w:r>
    </w:p>
    <w:p>
      <w:pPr>
        <w:spacing w:after="120" w:line="276"/>
      </w:pPr>
      <w:r>
        <w:t xml:space="preserve">В первой редакции настоящего анализа предполагалось, что между слоями произошла смена управленческой парадигмы — от филиалоцентричной к департаментоцентричной. Прочтение методологии эту гипотезу не подтверждает и заменяет более точной.</w:t>
      </w:r>
    </w:p>
    <w:p>
      <w:pPr>
        <w:spacing w:after="120" w:line="276"/>
      </w:pPr>
      <w:r>
        <w:t xml:space="preserve">Двухуровневая модель заложена изначально. Пункт 3.1 методологии описывает проектный офис центрального аппарата, пункт 3.2 — проектный офис филиала, с прямым указанием «контроль и координация: проектный менеджер ЦА». Чек-листы 2023 года достроили нижний уровень, не отменяя верхний.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00"/>
        <w:gridCol w:w="3350"/>
        <w:gridCol w:w="3350"/>
      </w:tblGrid>
      <w:tr>
        <w:trPr>
          <w:tblHeader/>
        </w:trPr>
        <w:tc>
          <w:tcPr>
            <w:tcW w:type="dxa" w:w="2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Обязанность менеджера ЦА по методологии (стр. 388)</w:t>
            </w:r>
          </w:p>
        </w:tc>
        <w:tc>
          <w:tcPr>
            <w:tcW w:type="dxa" w:w="335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Как исполняется по данным слоя А</w:t>
            </w:r>
          </w:p>
        </w:tc>
        <w:tc>
          <w:tcPr>
            <w:tcW w:type="dxa" w:w="335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Следствие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Внедрение методологии: обучение, консультирование, контроль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 ни в интервью, ни в проектах ДИ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Методология не имеет носителя; филиалы работают по памяти и практике</w:t>
            </w:r>
          </w:p>
        </w:tc>
      </w:tr>
      <w:tr>
        <w:trPr>
          <w:cantSplit/>
        </w:trPr>
        <w:tc>
          <w:tcPr>
            <w:tcW w:type="dxa" w:w="2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Контроль работы филиала: детальный план, бюджет, план закупок, исполнительская дисциплина, ключевые результаты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Исполняется — это и есть работа куратора в описании интервью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Единственная из шести обязанностей, сохранившаяся в практике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Оценка соответствия работ методологии, выявление причин несоответствия; при системности — внесение изменений в методологию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исполняется. Аудиты прекращены после 2020 года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Разорван контур обновления: практика расходится с нормой, норма не обновляется</w:t>
            </w:r>
          </w:p>
        </w:tc>
      </w:tr>
      <w:tr>
        <w:trPr>
          <w:cantSplit/>
        </w:trPr>
        <w:tc>
          <w:tcPr>
            <w:tcW w:type="dxa" w:w="2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Анализ функциональности системы в регионе: собираемость штрафов, использование в розыске, динамика ДТП, сравнение периодов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 интервью упоминается только собираемость как источник проблем с ФЭМ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Аналитическая функция ДУП утрачена; остался операционный контроль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Контроль изменения проектной документации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Проблема № 15 — документация в процессе изменения без владельца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Функция описана, исполнитель не назначен</w:t>
            </w:r>
          </w:p>
        </w:tc>
      </w:tr>
      <w:tr>
        <w:trPr>
          <w:cantSplit/>
        </w:trPr>
        <w:tc>
          <w:tcPr>
            <w:tcW w:type="dxa" w:w="2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Постоянное ведение и анализ извлечённых уроков на всех этапах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Проблема № 9 — обратной связи нет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Реестр уроков заполнен по состоянию на 2020–2021 гг. и не продолжен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Вывод по разделу. </w:t>
      </w:r>
      <w:r>
        <w:t xml:space="preserve">Ощущение «безграничной ответственности» куратора возникает не из-за отсутствия описания роли, а из-за её усечения: сохранился контроль, исчезли методология, аудит и аналитика — то есть ровно те инструменты, которые делают контроль обоснованным. Восстановление роли не требует нового регламента, требуется вернуть в работу четыре из шести описанных обязанностей.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5. Реестр узких мест слоя А в проверке слоем B</w:t>
      </w:r>
    </w:p>
    <w:p>
      <w:pPr>
        <w:spacing w:after="120" w:line="276"/>
      </w:pPr>
      <w:r>
        <w:t xml:space="preserve">Каждая из пятнадцати проблем проверена по тексту нормативной базы с указанием страниц методологии. Классификация: «не исполн.» — процедура описана и по существу актуальна, но не выполняется; «устарело» — описана, но адресована упразднённым ролям; «пробел» — описания нет; «нов. риск» — проблема порождена переходом к новой модели; «есть» — норматив имеется и применим напрямую.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20"/>
        <w:gridCol w:w="2280"/>
        <w:gridCol w:w="3700"/>
        <w:gridCol w:w="1300"/>
        <w:gridCol w:w="1300"/>
      </w:tblGrid>
      <w:tr>
        <w:trPr>
          <w:tblHeader/>
        </w:trPr>
        <w:tc>
          <w:tcPr>
            <w:tcW w:type="dxa" w:w="42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28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Проблема по отчёту слоя А</w:t>
            </w:r>
          </w:p>
        </w:tc>
        <w:tc>
          <w:tcPr>
            <w:tcW w:type="dxa" w:w="37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Покрытие в слое B</w:t>
            </w:r>
          </w:p>
        </w:tc>
        <w:tc>
          <w:tcPr>
            <w:tcW w:type="dxa" w:w="1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Ред. 1</w:t>
            </w:r>
          </w:p>
        </w:tc>
        <w:tc>
          <w:tcPr>
            <w:tcW w:type="dxa" w:w="1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Ред. 2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Неполные входные данные от ДРБ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60: передача в ДУП в течение 5 дней, восемь позиций перечня. Дублируется алгоритмом инициации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8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Продукт без завершённого пилота</w:t>
            </w:r>
          </w:p>
        </w:tc>
        <w:tc>
          <w:tcPr>
            <w:tcW w:type="dxa" w:w="3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24 — методика расчёта состава проекта; стр. 109–203 — техническая спецификация решения; стр. 358 — протокол выбора технологических решений. Все относятся к решению проекта, не к готовности продукта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Нет подтверждения готовности продукта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Процедуры вывода продукта на рынок нет: методология описывает внедрение уже существующего продукта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2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8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Проекты в обход ДУП</w:t>
            </w:r>
          </w:p>
        </w:tc>
        <w:tc>
          <w:tcPr>
            <w:tcW w:type="dxa" w:w="3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60 делает передачу в ДУП обязательным этапом; стр. 388 закрепляет за ЦА контроль соответствия методологии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Эскалация внешних партнёров напрямую руководству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397–401: три уровня критичности, поимённые контакты, каналы (телефон, e-mail, Telegram), тайминг — немедленно, 15 мин, 30 мин, 1–7 дней. Стр. 211–213: план коммуникаций и реестр заинтересованных сторон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28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Прогноз поступлений не формализован</w:t>
            </w:r>
          </w:p>
        </w:tc>
        <w:tc>
          <w:tcPr>
            <w:tcW w:type="dxa" w:w="3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453: заявка в ГП до 10 р. д. с акта ввода; выплата КОЗ — 10 р. д., КИЗ — 15, ВУ — 30 с даты заявки. Стр. 926: план-факт анализ ежемесячно с 25 по 30 число с отчётом в ДУП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Прогноз расходов ДУП — Финблок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926–928: контроль бюджета в разрезе статей ФЭМ, ресурс — 1С, отдельный подраздел «Затраты, не предусмотренные ФЭМ», 12 позиций отчётности бухгалтера филиала со сроками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28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Размытая ответственность куратора</w:t>
            </w:r>
          </w:p>
        </w:tc>
        <w:tc>
          <w:tcPr>
            <w:tcW w:type="dxa" w:w="3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388 и 389–392: раздельные перечни работ менеджера ЦА и менеджера филиала. Стр. 214–217: реестр ответственности подрядчиков и филиала по каждому объекту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Устарело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Устарело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Нет обратной связи от эксплуатации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Извлечённые уроки как обязательный элемент четырёх стадий: стр. 61, 225, 475, 935. Реестр по пяти городам заполнен. Стр. 388, п. 3: при системности причин ЦА обязан вносить изменения в методологию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28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Устаревшая методика поверки</w:t>
            </w:r>
          </w:p>
        </w:tc>
        <w:tc>
          <w:tcPr>
            <w:tcW w:type="dxa" w:w="3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409: поверка каждые 2 года независимой оценочной организацией, присутствие техспециалиста филиала, протокол испытания, оцифровка сертификатов, инициирование повторной поверки за 2 месяца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Нормативы стоимости в ФЭМ не актуализируются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362–363: маркетинговый анализ цен — 15 шагов с RFP, двумя итерациями предложений, протоколом экспертного совета и решением собрания руководителей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28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Фактический объём переносов расходится с ФЭМ</w:t>
            </w:r>
          </w:p>
        </w:tc>
        <w:tc>
          <w:tcPr>
            <w:tcW w:type="dxa" w:w="3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872–873: процедура поиска участков для переноса АПК с критериями и согласованием с ГП. Стр. 926: затраты, не предусмотренные ФЭМ, выделены в отдельный подраздел отчёта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Длительные закупочные процедуры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365: план закупок в 5 р. д. после утверждения ФЭМ, привязка позиций к статьям ФЭМ. Стр. 362: нормативы по каждому из 15 шагов, включая 14 дней на договоры и месяц на логистику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исполн.</w:t>
            </w:r>
          </w:p>
        </w:tc>
      </w:tr>
      <w:tr>
        <w:trPr>
          <w:cantSplit/>
        </w:trPr>
        <w:tc>
          <w:tcPr>
            <w:tcW w:type="dxa" w:w="42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28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Платформа портфеля работает не полностью</w:t>
            </w:r>
          </w:p>
        </w:tc>
        <w:tc>
          <w:tcPr>
            <w:tcW w:type="dxa" w:w="3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219–224: структура пространства филиала в Confluence. Методология процедурно опирается на Confluence, Jira, Google-таблицы, OTG Cloud, Documentolog, Zabbix, Grafana, Webokr, 1С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Нов. риск</w:t>
            </w:r>
          </w:p>
        </w:tc>
        <w:tc>
          <w:tcPr>
            <w:tcW w:type="dxa" w:w="1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Нов. риск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Оргструктура и ДИ в процессе изменения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Стр. 368–369: разработка оргструктуры и штатного расписания филиала. Стр. 882–885: три типовых комплекта ДИ по масштабу — до 50 АПК (5 инструкций), 50–200 (14), свыше 200 (15)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Нов. риск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Есть</w:t>
            </w:r>
          </w:p>
        </w:tc>
      </w:tr>
    </w:tbl>
    <w:p>
      <w:pPr>
        <w:spacing w:after="120" w:line="276"/>
      </w:pPr>
      <w:r>
        <w:t xml:space="preserve">Распределение по редакциям. Было: полное покрытие — 3, частичное — 5, пробел — 5, новый риск — 2. Стало: покрыто нормативно — 12, подлинный пробел — 2 (позиции 2 и 3, по существу одна задача), новый риск — 1.</w:t>
      </w:r>
    </w:p>
    <w:p>
      <w:pPr>
        <w:spacing w:after="120" w:line="276"/>
      </w:pPr>
      <w:r>
        <w:rPr>
          <w:b/>
          <w:bCs/>
        </w:rPr>
        <w:t xml:space="preserve">Смысл распределения. </w:t>
      </w:r>
      <w:r>
        <w:t xml:space="preserve">Обследование 2026 года описало как проблемы процесса то, что в подавляющем большинстве является проблемами исполнения. Двенадцать позиций из пятнадцати требуют не разработки, а восстановления работы описанных процедур и их актуализации под текущую структуру.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6. Фактура, которую слой B добавляет к анализу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6.1. Финансовая структура договора ГЧП</w:t>
      </w:r>
    </w:p>
    <w:p>
      <w:pPr>
        <w:spacing w:after="120" w:line="276"/>
      </w:pPr>
      <w:r>
        <w:t xml:space="preserve">Слой B раскрывает трёхкомпонентную структуру платежей — ВУ, КИЗ, КОЗ. Раздел 4.3 методологии даёт официальные расшифровки: компенсация инвестиционных затрат, компенсация операционных затрат, вознаграждение за управление объектом ГЧП. По каждой компоненте задан ежемесячный комплект подтверждающих документов: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КОЗ: счёт на оплату и счёт-фактура (оригиналы), подписанный и заверенный акт выполненных работ для госпартнёра, копии подтверждающих документов операционных расходов, письмо госпартнёру с входящим номером.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ВУ: отчёт о работе системы, сгенерированный Zabbix; акт выполненных работ; акт соответствия технических и эксплуатационных характеристик объекта; счёт и счёт-фактура; письмо госпартнёру с входящим номером.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КИЗ: счёт-фактура на сумму инвестиционных затрат, счёт на оплату.</w:t>
      </w:r>
    </w:p>
    <w:p>
      <w:pPr>
        <w:spacing w:after="120" w:line="276"/>
      </w:pPr>
      <w:r>
        <w:t xml:space="preserve">Сроки первых выплат нормированы (стр. 453): заявка в ГП — до 10 рабочих дней с подписания акта ввода в промышленную эксплуатацию; выплата КОЗ — 10 рабочих дней с даты заявки, КИЗ — 15, ВУ — 30. Внутренний срок передачи первичной документации в бухгалтерию — до 15-го числа.</w:t>
      </w:r>
    </w:p>
    <w:p>
      <w:pPr>
        <w:spacing w:after="120" w:line="276"/>
      </w:pPr>
      <w:r>
        <w:rPr>
          <w:b/>
          <w:bCs/>
        </w:rPr>
        <w:t xml:space="preserve">Значение. </w:t>
      </w:r>
      <w:r>
        <w:t xml:space="preserve">Отчёт слоя А описывает поступления от госпартнёра как единый поток, приходящий «ориентировочно с 15 по 25 число». В действительности это три потока с разными комплектами документов и разными сроками. Прогнозная модель без такого разделения не будет соответствовать договорной конструкции.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6.2. Нормативы штатной численности по масштабу проекта</w:t>
      </w:r>
    </w:p>
    <w:p>
      <w:pPr>
        <w:spacing w:after="120" w:line="276"/>
      </w:pPr>
      <w:r>
        <w:t xml:space="preserve">Раздел 3.5 задаёт три типовых комплекта должностных инструкций в зависимости от количества АПК по договору: до 50 комплексов — пять должностей (директор филиала, инженер по мониторингу, начальник и бригадир службы монтажа, электромонтёр); 50–200 — четырнадцать; свыше 200 — пятнадцать, с добавлением инженера службы эксплуатации и логиста-тестировщика. Это готовый норматив масштабирования, прямо применимый к текущей реорганизации. В слое А привязки численности к масштабу нет.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6.3. Реестр извлечённых уроков по пяти городам</w:t>
      </w:r>
    </w:p>
    <w:p>
      <w:pPr>
        <w:spacing w:after="120" w:line="276"/>
      </w:pPr>
      <w:r>
        <w:t xml:space="preserve">Раздел 1.1.6 содержит заполненную таблицу: Усть-Каменогорск — не предусмотрены количественные показатели достижения целей, отсутствуют порядок и сроки возмещения убытков при досрочном прекращении договора, реальная собираемость штрафов не соответствует показателю ФЭМ; Нур-Султан — отсутствуют количественные и качественные показатели цели; Атырау — отклонения по срокам предоставления точек размещения; Шымкент — ошибка в стоимости проекта в опубликованном извещении; Семей — риск альтернативных предложений конкурентов и риск перевода проекта в режим госзакупок.</w:t>
      </w:r>
    </w:p>
    <w:p>
      <w:pPr>
        <w:spacing w:after="120" w:line="276"/>
      </w:pPr>
      <w:r>
        <w:rPr>
          <w:b/>
          <w:bCs/>
        </w:rPr>
        <w:t xml:space="preserve">Наблюдение. </w:t>
      </w:r>
      <w:r>
        <w:t xml:space="preserve">Расхождение фактической собираемости штрафов с показателем ФЭМ зафиксировано как урок ещё в 2020–2021 годах, с указанием, что оно влияет на решения акиматов по новым проектам. В 2026 году то же расхождение описывается как новая проблема. Уроки фиксируются, но не предотвращают — цикл обратной связи замкнут наполовину.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6.4. Процедуры, отсутствующие в слое А целиком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Стадия закрытия проекта: отчёт о реализации, реестр архивной документации, демонтаж оборудования, формирование архива данных с АПК (стр. 930–942).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Передача объекта в государственную собственность (стр. 472) и рассмотрение пролонгации договора (стр. 474).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Матрица контроля качества (стр. 208) и контроль OKR (стр. 929): руководитель подразделения устанавливает норматив работ, от которого зависит 25 % оплаты; директор филиала ежемесячно отчитывается по матрице OKR менеджеру ЦА.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Чек-листы аудита филиала по трём направлениям и методика оценки эффективности по результатам аудита (стр. 889–908).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Алгоритм работ по штрафным санкциям (стр. 471), возмещение ущерба при повреждении оборудования третьими лицами (стр. 467), организация работ в нештатных ситуациях (стр. 466).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6.5. Раскрытие терминов, вынесенных в слое А в «неясные»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3300"/>
        <w:gridCol w:w="3800"/>
      </w:tblGrid>
      <w:tr>
        <w:trPr>
          <w:tblHeader/>
        </w:trPr>
        <w:tc>
          <w:tcPr>
            <w:tcW w:type="dxa" w:w="19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3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Статус в слое А</w:t>
            </w:r>
          </w:p>
        </w:tc>
        <w:tc>
          <w:tcPr>
            <w:tcW w:type="dxa" w:w="38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Что даёт слой B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ПМО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Прежнее наименование подразделения, чьи функции унаследовал ДУП. Методология использует актуальное наименование, алгоритм — прежнее</w:t>
            </w:r>
          </w:p>
        </w:tc>
      </w:tr>
      <w:tr>
        <w:trPr>
          <w:cantSplit/>
        </w:trPr>
        <w:tc>
          <w:tcPr>
            <w:tcW w:type="dxa" w:w="19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ФЭМ</w:t>
            </w:r>
          </w:p>
        </w:tc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«Из контекста — финансово-экономическая модель, явно не расшифрована»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Подтверждено: ФЭМ к бизнес-плану / бюджет проекта; владелец — ДРБ совместно с ПЭО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ОСУ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«Орган, утверждающий выход за рамки бюджета; требует подтверждения»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Подтверждена роль: выносятся проект договора, ФЭМ и бизнес-план; решение ОСУ о создании филиала является датой старта проекта. Полное наименование по-прежнему не раскрыто</w:t>
            </w:r>
          </w:p>
        </w:tc>
      </w:tr>
      <w:tr>
        <w:trPr>
          <w:cantSplit/>
        </w:trPr>
        <w:tc>
          <w:tcPr>
            <w:tcW w:type="dxa" w:w="19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ВУ, КИЗ, КОЗ</w:t>
            </w:r>
          </w:p>
        </w:tc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Отсутствуют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Вознаграждение за управление объектом ГЧП, компенсация инвестиционных затрат, компенсация операционных затрат (стр. 926)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ПЭО, ОМТО, ОЛЖА, Адиком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Отсутствуют либо не расшифрованы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Планово-экономический отдел (ФЭМ, бюджет, контроль исполнения), отдел материально-технического обеспечения (закупки, логистика), подразделение закупок ТРУ, местный провайдер (каналы связи, нодные помещения)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7. Системный ландшафт: разрыв между слоями</w:t>
      </w:r>
    </w:p>
    <w:p>
      <w:pPr>
        <w:spacing w:after="120" w:line="276"/>
      </w:pPr>
      <w:r>
        <w:t xml:space="preserve">Слой B не просто использует набор систем — он процедурно от них зависит. Слой А описывает целевое состояние вокруг единой платформы SimBase и фиксирует незавершённость интеграций.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35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Роль в слое B</w:t>
            </w:r>
          </w:p>
        </w:tc>
        <w:tc>
          <w:tcPr>
            <w:tcW w:type="dxa" w:w="35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Положение в слое 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Confluence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Среда ведения методологии; структура пространства филиала описана отдельным разделом (стр. 219–224)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Канал согласования технической спецификации и сметы; постановка задач по закупкам; отчёт бэк-офиса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Названа как интеграция платформы по блоку задач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Documentolog (СЭД)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Регистрация и рассылка реестров рисков и писем; утверждение документов ЭЦП; отдельная инструкция по протоколам совещаний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Zabbix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Источник отчёта о работе системы для подтверждения ВУ — элемент платёжного цикла, а не только мониторинг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Упомянут как незавершённая интеграция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Grafana, Webokr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Ежедневный контроль работоспособности; анализ собираемости штрафов менеджером ЦА; доступ — обязательный артефакт шести ролей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упоминаются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Google-таблицы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Методика расчёта состава проекта; статус заполнения разделов методологии; реестр договоров; таблица работоспособности АПК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Рассматриваются как ручной труд, подлежащий замене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OTG Cloud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Хранение сканов первичных документов и актов сверок по КОЗ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Telegram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Каналы эскалации: чаты формата SRG_город и PMO_город с тегами контактных лиц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1С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Ресурс контроля исполнения бюджета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Названа как интеграция блока склада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SimBase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Целевая единая карточка проекта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Риск перехода. </w:t>
      </w:r>
      <w:r>
        <w:t xml:space="preserve">Отчёт Zabbix входит в комплект документов для получения ВУ, а Documentolog обеспечивает доказуемость направления реестра рисков и писем госпартнёру. Перенос процессов в SimBase без переноса этих функций означает утрату не удобства, а доказательственной базы по договору ГЧП. Одновременно значительная часть процедур методологии ведёт к внешним ресурсам (Google-таблицы, OTG Cloud, Telegram) — при миграции эти связи рвутся, и методология превращается в описание процедур, ведущих в никуда. Перед миграцией требуется карта зависимостей.</w:t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8. Нормативно-правовая оценка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Иерархия документов. Методология утверждена приказом Председателя Правления (15.01.2021), чек-листы — приказом генерального директора (май 2023), алгоритм инициации грифа не имеет. При коллизии приоритет у методологии. Проекты ДИ слоя А не утверждены и в иерархию пока не входят.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Действительность слоя B. Сведений об отмене или приостановлении ни одного из документов в материалах нет. До принятия такого решения они сохраняют силу внутренних нормативных актов, а неисполнение их требований формально является дисциплинарным нарушением, а не «отсутствием процесса».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Коллизия при утверждении слоя А. Утверждение четырёх ДИ центрального аппарата без сверки с разделом 3.5 методологии, задающим три типовых комплекта филиальных ДИ, создаст противоречие с приказом уровнем выше. В приказ об утверждении целесообразно включить пункт о соотношении с методологией и о её изменении в установленном ею порядке.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Утрата адресатов. Чек-листы адресованы девяти ролям прежней структуры филиала, методология — 21 роли по навигатору. Проекты ДИ слоя А описывают четыре роли центрального аппарата. Соответствия между наборами нигде не установлено; при реорганизации часть обязанностей рискует потерять исполнителя.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Периметр юридических лиц. Позиции проектного управления распределены между ТОО «Көркем Телеком», ТОО «IP Технологии» и ЧК «Sergek Projects Ltd.», при этом ДИ утверждаются приказом генерального директора «Көркем Телеком», а конструкция «административный руководитель — директор филиала / функциональный руководитель — директор ДУП» пересекает границы работодателей. Основание функционального подчинения за пределами периметра работодателя в документах не раскрыто.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Персональные данные в нормативном документе. Методология содержит фамилии и личные мобильные телефоны представителей подрядных организаций (реестр ответственности, стр. 214–217; порядок эскалации, стр. 397–401). Правомерность их размещения и распространения — с учётом предусмотренной передачи выдержек методологии акимату и полиции — требует отдельной оценки.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Реквизиты подписания чек-листов. ЭЦП, которой подписаны чек-листы 2023 года, оформлена с указанием организации ТОО «Open Technologies Group» и электронного адреса домена otgroup.kz. Корректность реквизитов подписания внутренних документов «Көркем Телеком» целесообразно проверить.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9. Дефекты нормативной базы</w:t>
      </w:r>
    </w:p>
    <w:p>
      <w:pPr>
        <w:spacing w:after="120" w:line="276"/>
      </w:pPr>
      <w:r>
        <w:t xml:space="preserve">Признание слоя B полноценной нормативной базой не отменяет его собственных проблем. Они существенны и объясняют, почему при формальном наличии регламентов практика от них расходится.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История изменений отсутствует. Раздел ChangeLog при экспорте не выгрузился: вместо содержимого — текст ошибки макроса Confluence с трассировкой Java-исключения. Дату последней актуализации любого раздела установить невозможно.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Глоссарий пуст. Раздел 1.4 содержит один термин — АПК. Прочие сокращения (ОСУ, ГП, ЛУ, ОВН, ГТС, БиОТ и др.) остаются нераскрытыми. Проблема терминологической непрозрачности, зафиксированная в слое А, нормативной базой не решается.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Персонализация вместо ролей. Процедуры завязаны на конкретных лиц с указанием фамилий и личных телефонов: ответственные за оборудование, технические специалисты, состав собрания руководителей, контактные лица эскалации. При смене персонала процедура теряет исполнителя.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Архив занимает 28 процентов объёма. Страницы 960–1313 дублируют действующие разделы в устаревших редакциях, включая прямые копии отдельных разделов. Разграничение между действующей частью и архивом внутри документа визуально не выражено — риск применения недействующей версии высок.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Внутренние ссылки не сходятся. Раздел 3.2 ссылается на «2.1.4.2» при фактическом номере 2.2.1.2, на «3.1.1» при фактическом 3.2.1; номер 3.2.3 присвоен одновременно двум разделам. Сквозная перенумерация после реструктуризации не проводилась.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Переименование ПМО в ДУП проведено выборочно. Оба обозначения сосуществуют в действующей части: например, в процедуре маркетингового анализа цен и в шаблоне извлечённых уроков сохранено «ПМО».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Критическая зависимость от внешних ресурсов. Методика расчёта состава проекта существует только в виде Google-таблицы по внешней ссылке; статус заполнения разделов ведётся в другой таблице; документы бухгалтерии — в OTG Cloud; эскалация — через Telegram.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Контур контроля остановлен. Результаты аудита филиалов представлены только за 2020 год по двум городам (Нур-Султан, Атырау). За 2021–2026 годы данных нет, при полностью разработанных чек-листах и методике оценки.</w:t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10. Ограничения анализа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Сопоставление проведено по нормативному содержанию, а не по практике исполнения. Не установлено, ведутся ли фактически реестры рисков, журналы извлечённых уроков, матрица документов и план-факт отчётность. Квалификация «не исполняется» опирается на описание ситуации в интервью, а не на проверку.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Слой А опирается на одно интервью с одним подразделением. Позиции ДРБ, Финблока, ПЭО, ОМТО, юридического блока и филиалов не собраны. Раздел Б дерева процессов в самом документе помечен как неверифицированный.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Не установлен актуальный статус методологии: издавался ли приказ о её изменении или приостановлении, ведётся ли пространство в Confluence, кто её владелец сегодня. Номер приказа от 15.01.2021 в экспортированной версии не проставлен.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Технические разделы методологии (монтаж, настройка оборудования, калибровка — свыше 400 страниц) прочитаны выборочно: они не относятся к процессам управления и на выводы не влияют.</w:t>
      </w:r>
    </w:p>
    <w:p>
      <w:pPr>
        <w:pStyle w:val="Heading1"/>
        <w:spacing w:after="160" w:before="320"/>
      </w:pPr>
      <w:r>
        <w:rPr>
          <w:b/>
          <w:bCs/>
          <w:sz w:val="28"/>
          <w:szCs w:val="28"/>
        </w:rPr>
        <w:t xml:space="preserve">11. Выводы и рекомендации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11.1. Выводы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Компания располагает полной нормативной базой процессов проектного управления, утверждённой на уровне Председателя Правления и не отменённой. Обследование 2026 года проведено без её учёта, вследствие чего большинство выводов об отсутствии процессов не соответствует действительности.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Проблема ДУП лежит в области исполнения и актуализации, а не проектирования: двенадцать из пятнадцати узких мест имеют описанную процедуру с исполнителем, сроком и формой завершения.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Двухуровневая модель «центральный аппарат координирует — филиал исполняет» действует с 2021 года. Роль менеджера ЦА описана шестью обязанностями, из которых в практике сохранилась преимущественно одна. Отсюда ощущение размытой ответственности куратора.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Контур контроля соответствия методологии спроектирован, запущен в 2020 году и остановлен. Инструмент диагностики, которого не хватает текущему обследованию, готов к применению.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Подлинным нормативным пробелом остаётся одна зона — подтверждение готовности продукта перед выводом на продажу.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Переход на единую платформу несёт риск утраты доказательственной базы по договорам ГЧП и разрыва процедурных связей методологии с внешними ресурсами.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11.2. Первоочередные меры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Провести аудит соответствия методологии по её собственным чек-листам (стр. 889–907) на одном филиале. Инструмент готов, разрабатывать нечего; результат даст фактическую картину исполнения вместо гипотез.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Переформулировать задачу обследования: вопрос «какие процессы отсутствуют» заменить на «какие из описанных процедур не исполняются и почему». Это меняет структуру интервью и опросника.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Дополнить опросник директоров филиалов блоком проверки исполнения: известны ли респондентам методология, алгоритм инициации и чек-листы; ведутся ли реестр рисков, журнал извлечённых уроков, план-факт отчётность; что препятствует исполнению.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Установить актуальный статус методологии — приказ, владелец, ведётся ли пространство в Confluence — и сформировать реестр действующих ВНД со статусом каждого: исполняется / не исполняется / устарел по адресации / подлежит отмене.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Приостановить утверждение проектов ДИ до сверки с разделом 3.5 методологии и подготовить таблицу соответствия ролей: 21 роль навигатора и девять ролей чек-листов против новой структуры, с указанием наследника каждой обязанности.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11.3. Второй горизонт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Восстановить работу четырёх описанных контуров: извлечённые уроки, реестр рисков, маркетинговый анализ цен, план-факт контроль бюджета. По каждому назначить владельца, периодичность и место хранения результата.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Провести сквозную актуализацию методологии: снять персонализацию в пользу ролей, исправить внутренние ссылки, выделить архив, завершить переименование ПМО, заполнить глоссарий. Это редактирование существующего, а не создание нового.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Разработать единственный отсутствующий регламент — подтверждение готовности продукта перед выводом на продажу, с этапом пилота и критериями приёмки.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Спроектировать точку передачи проекта между блоком реализации и блоком сопровождения. Методология описывает параллельное ведение обоих этапов одним менеджером филиала; при разделении на двух заместителей передача требует отдельного описания.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Составить карту зависимостей методологии от внешних систем и по каждой принять решение: перенос, сохранение или замена. Обеспечить сохранение нормативных функций Zabbix и Documentolog.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При утверждении новой структуры отдельно проработать основание функционального подчинения между юридическими лицами группы и вопрос персональных данных подрядчиков в тексте методологии.</w:t>
      </w:r>
    </w:p>
    <w:p>
      <w:pPr>
        <w:pBdr>
          <w:bottom w:val="single" w:color="999999" w:sz="6" w:space="1"/>
        </w:pBdr>
        <w:spacing w:after="200" w:before="120"/>
      </w:pPr>
    </w:p>
    <w:p>
      <w:pPr>
        <w:spacing w:after="120" w:line="276"/>
      </w:pPr>
      <w:r>
        <w:rPr>
          <w:i/>
          <w:iCs/>
          <w:sz w:val="18"/>
          <w:szCs w:val="18"/>
        </w:rPr>
        <w:t xml:space="preserve">Редакция 2 от 25 августа 2026 г. Подготовлена по материалам папки Google Drive «ДУП» и полному тексту методологии «Свод знаний по внедрению Сергек». Ссылки на страницы даны по нумерации PDF-версии. Фактическая практика исполнения процедур не проверялась.</w:t>
      </w:r>
    </w:p>
    <w:sectPr>
      <w:pgSz w:w="11906" w:h="16838" w:orient="portrait"/>
      <w:pgMar w:top="1134" w:right="992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Сопоставительный анализ слоёв А и B процессной документации ДУП, редакция 2</dc:title>
  <dc:creator>ДУП</dc:creator>
  <cp:lastModifiedBy>Un-named</cp:lastModifiedBy>
  <cp:revision>1</cp:revision>
  <dcterms:created xsi:type="dcterms:W3CDTF">2026-08-25T09:23:27.531Z</dcterms:created>
  <dcterms:modified xsi:type="dcterms:W3CDTF">2026-08-25T09:23:27.545Z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