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jc w:val="center"/>
      </w:pPr>
      <w:r>
        <w:rPr>
          <w:b/>
          <w:bCs/>
          <w:sz w:val="22"/>
          <w:szCs w:val="22"/>
        </w:rPr>
        <w:t xml:space="preserve">ДЕПАРТАМЕНТ УПРАВЛЕНИЯ ПРОЕКТАМИ (ДУП)</w:t>
      </w:r>
    </w:p>
    <w:p>
      <w:pPr>
        <w:spacing w:after="160"/>
        <w:jc w:val="center"/>
      </w:pPr>
      <w:r>
        <w:rPr>
          <w:b/>
          <w:bCs/>
          <w:sz w:val="36"/>
          <w:szCs w:val="36"/>
        </w:rPr>
        <w:t xml:space="preserve">Ревизия выводов по итогам прочтения методологии</w:t>
      </w:r>
    </w:p>
    <w:p>
      <w:pPr>
        <w:spacing w:after="460"/>
        <w:jc w:val="center"/>
      </w:pPr>
      <w:r>
        <w:rPr>
          <w:i/>
          <w:iCs/>
          <w:sz w:val="22"/>
          <w:szCs w:val="22"/>
        </w:rPr>
        <w:t xml:space="preserve">Дополнение к сопоставительному анализу слоёв А и B</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600"/>
      </w:tblGrid>
      <w:tr>
        <w:trPr>
          <w:tblHeader/>
        </w:trPr>
        <w:tc>
          <w:tcPr>
            <w:tcW w:type="dxa" w:w="2400"/>
            <w:shd w:fill="E8E8E4" w:color="auto" w:val="clear"/>
            <w:tcMar>
              <w:top w:type="dxa" w:w="60"/>
              <w:left w:type="dxa" w:w="90"/>
              <w:bottom w:type="dxa" w:w="60"/>
              <w:right w:type="dxa" w:w="90"/>
            </w:tcMar>
          </w:tcPr>
          <w:p>
            <w:pPr>
              <w:spacing w:after="40" w:line="252"/>
            </w:pPr>
            <w:r>
              <w:rPr>
                <w:b/>
                <w:bCs/>
                <w:sz w:val="19"/>
                <w:szCs w:val="19"/>
              </w:rPr>
              <w:t xml:space="preserve">Параметр</w:t>
            </w:r>
          </w:p>
        </w:tc>
        <w:tc>
          <w:tcPr>
            <w:tcW w:type="dxa" w:w="6600"/>
            <w:shd w:fill="E8E8E4" w:color="auto" w:val="clear"/>
            <w:tcMar>
              <w:top w:type="dxa" w:w="60"/>
              <w:left w:type="dxa" w:w="90"/>
              <w:bottom w:type="dxa" w:w="60"/>
              <w:right w:type="dxa" w:w="90"/>
            </w:tcMar>
          </w:tcPr>
          <w:p>
            <w:pPr>
              <w:spacing w:after="40" w:line="252"/>
            </w:pPr>
            <w:r>
              <w:rPr>
                <w:b/>
                <w:bCs/>
                <w:sz w:val="19"/>
                <w:szCs w:val="19"/>
              </w:rPr>
              <w:t xml:space="preserve">Значение</w:t>
            </w:r>
          </w:p>
        </w:tc>
      </w:tr>
      <w:tr>
        <w:trPr>
          <w:cantSplit/>
        </w:trPr>
        <w:tc>
          <w:tcPr>
            <w:tcW w:type="dxa" w:w="2400"/>
            <w:tcMar>
              <w:top w:type="dxa" w:w="60"/>
              <w:left w:type="dxa" w:w="90"/>
              <w:bottom w:type="dxa" w:w="60"/>
              <w:right w:type="dxa" w:w="90"/>
            </w:tcMar>
          </w:tcPr>
          <w:p>
            <w:pPr>
              <w:spacing w:after="40" w:line="252"/>
            </w:pPr>
            <w:r>
              <w:rPr>
                <w:sz w:val="19"/>
                <w:szCs w:val="19"/>
              </w:rPr>
              <w:t xml:space="preserve">Основание</w:t>
            </w:r>
          </w:p>
        </w:tc>
        <w:tc>
          <w:tcPr>
            <w:tcW w:type="dxa" w:w="6600"/>
            <w:tcMar>
              <w:top w:type="dxa" w:w="60"/>
              <w:left w:type="dxa" w:w="90"/>
              <w:bottom w:type="dxa" w:w="60"/>
              <w:right w:type="dxa" w:w="90"/>
            </w:tcMar>
          </w:tcPr>
          <w:p>
            <w:pPr>
              <w:spacing w:after="40" w:line="252"/>
            </w:pPr>
            <w:r>
              <w:rPr>
                <w:sz w:val="19"/>
                <w:szCs w:val="19"/>
              </w:rPr>
              <w:t xml:space="preserve">Снятие главного ограничения предыдущего анализа: методология «Свод знаний по внедрению Сергек» (1313 стр.) прочитана полностью</w:t>
            </w:r>
          </w:p>
        </w:tc>
      </w:tr>
      <w:tr>
        <w:trPr>
          <w:cantSplit/>
        </w:trPr>
        <w:tc>
          <w:tcPr>
            <w:tcW w:type="dxa" w:w="2400"/>
            <w:shd w:fill="F7F7F5" w:color="auto" w:val="clear"/>
            <w:tcMar>
              <w:top w:type="dxa" w:w="60"/>
              <w:left w:type="dxa" w:w="90"/>
              <w:bottom w:type="dxa" w:w="60"/>
              <w:right w:type="dxa" w:w="90"/>
            </w:tcMar>
          </w:tcPr>
          <w:p>
            <w:pPr>
              <w:spacing w:after="40" w:line="252"/>
            </w:pPr>
            <w:r>
              <w:rPr>
                <w:sz w:val="19"/>
                <w:szCs w:val="19"/>
              </w:rPr>
              <w:t xml:space="preserve">Предмет</w:t>
            </w:r>
          </w:p>
        </w:tc>
        <w:tc>
          <w:tcPr>
            <w:tcW w:type="dxa" w:w="6600"/>
            <w:shd w:fill="F7F7F5" w:color="auto" w:val="clear"/>
            <w:tcMar>
              <w:top w:type="dxa" w:w="60"/>
              <w:left w:type="dxa" w:w="90"/>
              <w:bottom w:type="dxa" w:w="60"/>
              <w:right w:type="dxa" w:w="90"/>
            </w:tcMar>
          </w:tcPr>
          <w:p>
            <w:pPr>
              <w:spacing w:after="40" w:line="252"/>
            </w:pPr>
            <w:r>
              <w:rPr>
                <w:sz w:val="19"/>
                <w:szCs w:val="19"/>
              </w:rPr>
              <w:t xml:space="preserve">Пересмотр реестра узких мест и выводов документа «Сопоставительный анализ двух слоёв процессной документации» от 25.08.2026</w:t>
            </w:r>
          </w:p>
        </w:tc>
      </w:tr>
      <w:tr>
        <w:trPr>
          <w:cantSplit/>
        </w:trPr>
        <w:tc>
          <w:tcPr>
            <w:tcW w:type="dxa" w:w="2400"/>
            <w:tcMar>
              <w:top w:type="dxa" w:w="60"/>
              <w:left w:type="dxa" w:w="90"/>
              <w:bottom w:type="dxa" w:w="60"/>
              <w:right w:type="dxa" w:w="90"/>
            </w:tcMar>
          </w:tcPr>
          <w:p>
            <w:pPr>
              <w:spacing w:after="40" w:line="252"/>
            </w:pPr>
            <w:r>
              <w:rPr>
                <w:sz w:val="19"/>
                <w:szCs w:val="19"/>
              </w:rPr>
              <w:t xml:space="preserve">Метод</w:t>
            </w:r>
          </w:p>
        </w:tc>
        <w:tc>
          <w:tcPr>
            <w:tcW w:type="dxa" w:w="6600"/>
            <w:tcMar>
              <w:top w:type="dxa" w:w="60"/>
              <w:left w:type="dxa" w:w="90"/>
              <w:bottom w:type="dxa" w:w="60"/>
              <w:right w:type="dxa" w:w="90"/>
            </w:tcMar>
          </w:tcPr>
          <w:p>
            <w:pPr>
              <w:spacing w:after="40" w:line="252"/>
            </w:pPr>
            <w:r>
              <w:rPr>
                <w:sz w:val="19"/>
                <w:szCs w:val="19"/>
              </w:rPr>
              <w:t xml:space="preserve">Полнотекстовое извлечение и постраничная сверка: каждое узкое место слоя А проверено на наличие описанной процедуры в методологии с указанием точной страницы</w:t>
            </w:r>
          </w:p>
        </w:tc>
      </w:tr>
      <w:tr>
        <w:trPr>
          <w:cantSplit/>
        </w:trPr>
        <w:tc>
          <w:tcPr>
            <w:tcW w:type="dxa" w:w="2400"/>
            <w:shd w:fill="F7F7F5" w:color="auto" w:val="clear"/>
            <w:tcMar>
              <w:top w:type="dxa" w:w="60"/>
              <w:left w:type="dxa" w:w="90"/>
              <w:bottom w:type="dxa" w:w="60"/>
              <w:right w:type="dxa" w:w="90"/>
            </w:tcMar>
          </w:tcPr>
          <w:p>
            <w:pPr>
              <w:spacing w:after="40" w:line="252"/>
            </w:pPr>
            <w:r>
              <w:rPr>
                <w:sz w:val="19"/>
                <w:szCs w:val="19"/>
              </w:rPr>
              <w:t xml:space="preserve">Главный результат</w:t>
            </w:r>
          </w:p>
        </w:tc>
        <w:tc>
          <w:tcPr>
            <w:tcW w:type="dxa" w:w="6600"/>
            <w:shd w:fill="F7F7F5" w:color="auto" w:val="clear"/>
            <w:tcMar>
              <w:top w:type="dxa" w:w="60"/>
              <w:left w:type="dxa" w:w="90"/>
              <w:bottom w:type="dxa" w:w="60"/>
              <w:right w:type="dxa" w:w="90"/>
            </w:tcMar>
          </w:tcPr>
          <w:p>
            <w:pPr>
              <w:spacing w:after="40" w:line="252"/>
            </w:pPr>
            <w:r>
              <w:rPr>
                <w:sz w:val="19"/>
                <w:szCs w:val="19"/>
              </w:rPr>
              <w:t xml:space="preserve">Число подлинных нормативных пробелов сокращается с пяти до одного. Основной вывод предыдущего документа не только подтверждается, но усиливается</w:t>
            </w:r>
          </w:p>
        </w:tc>
      </w:tr>
      <w:tr>
        <w:trPr>
          <w:cantSplit/>
        </w:trPr>
        <w:tc>
          <w:tcPr>
            <w:tcW w:type="dxa" w:w="2400"/>
            <w:tcMar>
              <w:top w:type="dxa" w:w="60"/>
              <w:left w:type="dxa" w:w="90"/>
              <w:bottom w:type="dxa" w:w="60"/>
              <w:right w:type="dxa" w:w="90"/>
            </w:tcMar>
          </w:tcPr>
          <w:p>
            <w:pPr>
              <w:spacing w:after="40" w:line="252"/>
            </w:pPr>
            <w:r>
              <w:rPr>
                <w:sz w:val="19"/>
                <w:szCs w:val="19"/>
              </w:rPr>
              <w:t xml:space="preserve">Дата</w:t>
            </w:r>
          </w:p>
        </w:tc>
        <w:tc>
          <w:tcPr>
            <w:tcW w:type="dxa" w:w="6600"/>
            <w:tcMar>
              <w:top w:type="dxa" w:w="60"/>
              <w:left w:type="dxa" w:w="90"/>
              <w:bottom w:type="dxa" w:w="60"/>
              <w:right w:type="dxa" w:w="90"/>
            </w:tcMar>
          </w:tcPr>
          <w:p>
            <w:pPr>
              <w:spacing w:after="40" w:line="252"/>
            </w:pPr>
            <w:r>
              <w:rPr>
                <w:sz w:val="19"/>
                <w:szCs w:val="19"/>
              </w:rPr>
              <w:t xml:space="preserve">25 августа 2026 г.</w:t>
            </w:r>
          </w:p>
        </w:tc>
      </w:tr>
    </w:tbl>
    <w:p>
      <w:r>
        <w:br w:type="page"/>
      </w:r>
    </w:p>
    <w:p>
      <w:pPr>
        <w:pStyle w:val="Heading1"/>
        <w:spacing w:after="160" w:before="320"/>
      </w:pPr>
      <w:r>
        <w:rPr>
          <w:b/>
          <w:bCs/>
          <w:sz w:val="28"/>
          <w:szCs w:val="28"/>
        </w:rPr>
        <w:t xml:space="preserve">1. Что изменилось после прочтения</w:t>
      </w:r>
    </w:p>
    <w:p>
      <w:pPr>
        <w:spacing w:after="120" w:line="276"/>
      </w:pPr>
      <w:r>
        <w:t xml:space="preserve">Предыдущий документ строился на гипотезе: проблема ДУП лежит не в проектировании процессов, а в их исполнении и актуализации. Гипотеза формулировалась осторожно, поскольку крупнейший документ нормативной базы оставался непрочитанным. После прочтения гипотеза подтверждается в более сильной форме, чем предполагалось.</w:t>
      </w:r>
    </w:p>
    <w:p>
      <w:pPr>
        <w:spacing w:after="120" w:line="276"/>
      </w:pPr>
      <w:r>
        <w:t xml:space="preserve">Методология «Свод знаний по внедрению Сергек» — это не сборник рекомендаций, а полный операционный регламент жизненного цикла проекта: пять стадий (инициирование, планирование, реализация, контроль, закрытие), внутри каждой — рабочие потоки (проектный офис, производство, финансы, кадры, филиал), внутри потоков — процедуры с обязательными полями «Исполнитель», «Цель», «Срок исполнения», «Ресурсы», «Форма завершения». Единый шаблон описания задан явно и соблюдается по всему объёму.</w:t>
      </w:r>
    </w:p>
    <w:p>
      <w:pPr>
        <w:spacing w:after="120" w:line="276"/>
      </w:pPr>
      <w:r>
        <w:rPr>
          <w:b/>
          <w:bCs/>
        </w:rPr>
        <w:t xml:space="preserve">Ключевая корректировка предыдущего документа. </w:t>
      </w:r>
      <w:r>
        <w:t xml:space="preserve">В методологии подразделение уже называется «Департамент по управлению проектами», а не «ПМО». Следовательно, вывод об устаревании терминологии верен для алгоритма инициации ГЧП, но не для методологии: последняя актуальнее по составу структур. При этом обозначение ПМО в тексте местами сохранилось — переименование проведено не сплошным образом.</w:t>
      </w:r>
    </w:p>
    <w:p>
      <w:pPr>
        <w:spacing w:after="120" w:line="276"/>
      </w:pPr>
      <w:r>
        <w:rPr>
          <w:b/>
          <w:bCs/>
        </w:rPr>
        <w:t xml:space="preserve">Второе. </w:t>
      </w:r>
      <w:r>
        <w:t xml:space="preserve">В самом названии первого раздела методологии заявлено «внедрение системы контроля на соответствие методологии». Раздел 4 «Контроль» содержит три набора чек-листов аудита филиала (проектная деятельность, производство, административно-хозяйственная часть, стр. 889–907) и методику оценки эффективности филиала по результатам аудита (стр. 908). Результаты проверок приведены только за 2020 год: Нур-Султан 26–28.08.2020 и Атырау 07–11.09.2020. Система контроля была спроектирована и запущена, после чего её следы обрываются. Это не пробел в проектировании — это остановленный контур.</w:t>
      </w:r>
    </w:p>
    <w:p>
      <w:pPr>
        <w:pStyle w:val="Heading1"/>
        <w:spacing w:after="160" w:before="320"/>
      </w:pPr>
      <w:r>
        <w:rPr>
          <w:b/>
          <w:bCs/>
          <w:sz w:val="28"/>
          <w:szCs w:val="28"/>
        </w:rPr>
        <w:t xml:space="preserve">2. Паспорт методологии</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00"/>
      </w:tblGrid>
      <w:tr>
        <w:trPr>
          <w:tblHeader/>
        </w:trPr>
        <w:tc>
          <w:tcPr>
            <w:tcW w:type="dxa" w:w="2600"/>
            <w:shd w:fill="E8E8E4" w:color="auto" w:val="clear"/>
            <w:tcMar>
              <w:top w:type="dxa" w:w="60"/>
              <w:left w:type="dxa" w:w="90"/>
              <w:bottom w:type="dxa" w:w="60"/>
              <w:right w:type="dxa" w:w="90"/>
            </w:tcMar>
          </w:tcPr>
          <w:p>
            <w:pPr>
              <w:spacing w:after="40" w:line="252"/>
            </w:pPr>
            <w:r>
              <w:rPr>
                <w:b/>
                <w:bCs/>
                <w:sz w:val="19"/>
                <w:szCs w:val="19"/>
              </w:rPr>
              <w:t xml:space="preserve">Параметр</w:t>
            </w:r>
          </w:p>
        </w:tc>
        <w:tc>
          <w:tcPr>
            <w:tcW w:type="dxa" w:w="6400"/>
            <w:shd w:fill="E8E8E4" w:color="auto" w:val="clear"/>
            <w:tcMar>
              <w:top w:type="dxa" w:w="60"/>
              <w:left w:type="dxa" w:w="90"/>
              <w:bottom w:type="dxa" w:w="60"/>
              <w:right w:type="dxa" w:w="90"/>
            </w:tcMar>
          </w:tcPr>
          <w:p>
            <w:pPr>
              <w:spacing w:after="40" w:line="252"/>
            </w:pPr>
            <w:r>
              <w:rPr>
                <w:b/>
                <w:bCs/>
                <w:sz w:val="19"/>
                <w:szCs w:val="19"/>
              </w:rPr>
              <w:t xml:space="preserve">Значение</w:t>
            </w:r>
          </w:p>
        </w:tc>
      </w:tr>
      <w:tr>
        <w:trPr>
          <w:cantSplit/>
        </w:trPr>
        <w:tc>
          <w:tcPr>
            <w:tcW w:type="dxa" w:w="2600"/>
            <w:tcMar>
              <w:top w:type="dxa" w:w="60"/>
              <w:left w:type="dxa" w:w="90"/>
              <w:bottom w:type="dxa" w:w="60"/>
              <w:right w:type="dxa" w:w="90"/>
            </w:tcMar>
          </w:tcPr>
          <w:p>
            <w:pPr>
              <w:spacing w:after="40" w:line="252"/>
            </w:pPr>
            <w:r>
              <w:rPr>
                <w:sz w:val="19"/>
                <w:szCs w:val="19"/>
              </w:rPr>
              <w:t xml:space="preserve">Полное наименование</w:t>
            </w:r>
          </w:p>
        </w:tc>
        <w:tc>
          <w:tcPr>
            <w:tcW w:type="dxa" w:w="6400"/>
            <w:tcMar>
              <w:top w:type="dxa" w:w="60"/>
              <w:left w:type="dxa" w:w="90"/>
              <w:bottom w:type="dxa" w:w="60"/>
              <w:right w:type="dxa" w:w="90"/>
            </w:tcMar>
          </w:tcPr>
          <w:p>
            <w:pPr>
              <w:spacing w:after="40" w:line="252"/>
            </w:pPr>
            <w:r>
              <w:rPr>
                <w:sz w:val="19"/>
                <w:szCs w:val="19"/>
              </w:rPr>
              <w:t xml:space="preserve">«Свод знаний по внедрению Сергек» — детальное пошаговое описание проекта фотовидеофиксации от инициации до ввода в эксплуатацию</w:t>
            </w:r>
          </w:p>
        </w:tc>
      </w:tr>
      <w:tr>
        <w:trPr>
          <w:cantSplit/>
        </w:trPr>
        <w:tc>
          <w:tcPr>
            <w:tcW w:type="dxa" w:w="2600"/>
            <w:shd w:fill="F7F7F5" w:color="auto" w:val="clear"/>
            <w:tcMar>
              <w:top w:type="dxa" w:w="60"/>
              <w:left w:type="dxa" w:w="90"/>
              <w:bottom w:type="dxa" w:w="60"/>
              <w:right w:type="dxa" w:w="90"/>
            </w:tcMar>
          </w:tcPr>
          <w:p>
            <w:pPr>
              <w:spacing w:after="40" w:line="252"/>
            </w:pPr>
            <w:r>
              <w:rPr>
                <w:sz w:val="19"/>
                <w:szCs w:val="19"/>
              </w:rPr>
              <w:t xml:space="preserve">Утверждение</w:t>
            </w:r>
          </w:p>
        </w:tc>
        <w:tc>
          <w:tcPr>
            <w:tcW w:type="dxa" w:w="6400"/>
            <w:shd w:fill="F7F7F5" w:color="auto" w:val="clear"/>
            <w:tcMar>
              <w:top w:type="dxa" w:w="60"/>
              <w:left w:type="dxa" w:w="90"/>
              <w:bottom w:type="dxa" w:w="60"/>
              <w:right w:type="dxa" w:w="90"/>
            </w:tcMar>
          </w:tcPr>
          <w:p>
            <w:pPr>
              <w:spacing w:after="40" w:line="252"/>
            </w:pPr>
            <w:r>
              <w:rPr>
                <w:sz w:val="19"/>
                <w:szCs w:val="19"/>
              </w:rPr>
              <w:t xml:space="preserve">Приложение 1 к приказу Председателя Правления ТОО «Коркем Телеком» от 15 января 2021 г. Номер приказа в экспортированной версии не проставлен</w:t>
            </w:r>
          </w:p>
        </w:tc>
      </w:tr>
      <w:tr>
        <w:trPr>
          <w:cantSplit/>
        </w:trPr>
        <w:tc>
          <w:tcPr>
            <w:tcW w:type="dxa" w:w="2600"/>
            <w:tcMar>
              <w:top w:type="dxa" w:w="60"/>
              <w:left w:type="dxa" w:w="90"/>
              <w:bottom w:type="dxa" w:w="60"/>
              <w:right w:type="dxa" w:w="90"/>
            </w:tcMar>
          </w:tcPr>
          <w:p>
            <w:pPr>
              <w:spacing w:after="40" w:line="252"/>
            </w:pPr>
            <w:r>
              <w:rPr>
                <w:sz w:val="19"/>
                <w:szCs w:val="19"/>
              </w:rPr>
              <w:t xml:space="preserve">Объём и структура</w:t>
            </w:r>
          </w:p>
        </w:tc>
        <w:tc>
          <w:tcPr>
            <w:tcW w:type="dxa" w:w="6400"/>
            <w:tcMar>
              <w:top w:type="dxa" w:w="60"/>
              <w:left w:type="dxa" w:w="90"/>
              <w:bottom w:type="dxa" w:w="60"/>
              <w:right w:type="dxa" w:w="90"/>
            </w:tcMar>
          </w:tcPr>
          <w:p>
            <w:pPr>
              <w:spacing w:after="40" w:line="252"/>
            </w:pPr>
            <w:r>
              <w:rPr>
                <w:sz w:val="19"/>
                <w:szCs w:val="19"/>
              </w:rPr>
              <w:t xml:space="preserve">1313 страниц. Пять стадий, четыре уровня глубины (стадия — рабочий поток — раздел — подраздел). Разделы 1–5 — действующая часть (стр. 22–942); стр. 960–1313 — архив</w:t>
            </w:r>
          </w:p>
        </w:tc>
      </w:tr>
      <w:tr>
        <w:trPr>
          <w:cantSplit/>
        </w:trPr>
        <w:tc>
          <w:tcPr>
            <w:tcW w:type="dxa" w:w="2600"/>
            <w:shd w:fill="F7F7F5" w:color="auto" w:val="clear"/>
            <w:tcMar>
              <w:top w:type="dxa" w:w="60"/>
              <w:left w:type="dxa" w:w="90"/>
              <w:bottom w:type="dxa" w:w="60"/>
              <w:right w:type="dxa" w:w="90"/>
            </w:tcMar>
          </w:tcPr>
          <w:p>
            <w:pPr>
              <w:spacing w:after="40" w:line="252"/>
            </w:pPr>
            <w:r>
              <w:rPr>
                <w:sz w:val="19"/>
                <w:szCs w:val="19"/>
              </w:rPr>
              <w:t xml:space="preserve">Среда ведения</w:t>
            </w:r>
          </w:p>
        </w:tc>
        <w:tc>
          <w:tcPr>
            <w:tcW w:type="dxa" w:w="6400"/>
            <w:shd w:fill="F7F7F5" w:color="auto" w:val="clear"/>
            <w:tcMar>
              <w:top w:type="dxa" w:w="60"/>
              <w:left w:type="dxa" w:w="90"/>
              <w:bottom w:type="dxa" w:w="60"/>
              <w:right w:type="dxa" w:w="90"/>
            </w:tcMar>
          </w:tcPr>
          <w:p>
            <w:pPr>
              <w:spacing w:after="40" w:line="252"/>
            </w:pPr>
            <w:r>
              <w:rPr>
                <w:sz w:val="19"/>
                <w:szCs w:val="19"/>
              </w:rPr>
              <w:t xml:space="preserve">Confluence. Экспорт в единый файл. Порядок ведения, шаблон страницы и правила оформления описаны в разделе 1.2</w:t>
            </w:r>
          </w:p>
        </w:tc>
      </w:tr>
      <w:tr>
        <w:trPr>
          <w:cantSplit/>
        </w:trPr>
        <w:tc>
          <w:tcPr>
            <w:tcW w:type="dxa" w:w="2600"/>
            <w:tcMar>
              <w:top w:type="dxa" w:w="60"/>
              <w:left w:type="dxa" w:w="90"/>
              <w:bottom w:type="dxa" w:w="60"/>
              <w:right w:type="dxa" w:w="90"/>
            </w:tcMar>
          </w:tcPr>
          <w:p>
            <w:pPr>
              <w:spacing w:after="40" w:line="252"/>
            </w:pPr>
            <w:r>
              <w:rPr>
                <w:sz w:val="19"/>
                <w:szCs w:val="19"/>
              </w:rPr>
              <w:t xml:space="preserve">Навигация по ролям</w:t>
            </w:r>
          </w:p>
        </w:tc>
        <w:tc>
          <w:tcPr>
            <w:tcW w:type="dxa" w:w="6400"/>
            <w:tcMar>
              <w:top w:type="dxa" w:w="60"/>
              <w:left w:type="dxa" w:w="90"/>
              <w:bottom w:type="dxa" w:w="60"/>
              <w:right w:type="dxa" w:w="90"/>
            </w:tcMar>
          </w:tcPr>
          <w:p>
            <w:pPr>
              <w:spacing w:after="40" w:line="252"/>
            </w:pPr>
            <w:r>
              <w:rPr>
                <w:sz w:val="19"/>
                <w:szCs w:val="19"/>
              </w:rPr>
              <w:t xml:space="preserve">Раздел 1.3 «Поиск разделов по видам работ» — навигатор по 21 роли: от департамента развития бизнеса и проектного менеджера ЦА до логиста-тестировщика и специалиста по БиОТ</w:t>
            </w:r>
          </w:p>
        </w:tc>
      </w:tr>
      <w:tr>
        <w:trPr>
          <w:cantSplit/>
        </w:trPr>
        <w:tc>
          <w:tcPr>
            <w:tcW w:type="dxa" w:w="2600"/>
            <w:shd w:fill="F7F7F5" w:color="auto" w:val="clear"/>
            <w:tcMar>
              <w:top w:type="dxa" w:w="60"/>
              <w:left w:type="dxa" w:w="90"/>
              <w:bottom w:type="dxa" w:w="60"/>
              <w:right w:type="dxa" w:w="90"/>
            </w:tcMar>
          </w:tcPr>
          <w:p>
            <w:pPr>
              <w:spacing w:after="40" w:line="252"/>
            </w:pPr>
            <w:r>
              <w:rPr>
                <w:sz w:val="19"/>
                <w:szCs w:val="19"/>
              </w:rPr>
              <w:t xml:space="preserve">Порядок изменений</w:t>
            </w:r>
          </w:p>
        </w:tc>
        <w:tc>
          <w:tcPr>
            <w:tcW w:type="dxa" w:w="6400"/>
            <w:shd w:fill="F7F7F5" w:color="auto" w:val="clear"/>
            <w:tcMar>
              <w:top w:type="dxa" w:w="60"/>
              <w:left w:type="dxa" w:w="90"/>
              <w:bottom w:type="dxa" w:w="60"/>
              <w:right w:type="dxa" w:w="90"/>
            </w:tcMar>
          </w:tcPr>
          <w:p>
            <w:pPr>
              <w:spacing w:after="40" w:line="252"/>
            </w:pPr>
            <w:r>
              <w:rPr>
                <w:sz w:val="19"/>
                <w:szCs w:val="19"/>
              </w:rPr>
              <w:t xml:space="preserve">Изменения структуры первого и второго уровня согласуются с директором Департамента по управлению проектами. Статус заполнения разделов ведётся в отдельной Google-таблице</w:t>
            </w:r>
          </w:p>
        </w:tc>
      </w:tr>
      <w:tr>
        <w:trPr>
          <w:cantSplit/>
        </w:trPr>
        <w:tc>
          <w:tcPr>
            <w:tcW w:type="dxa" w:w="2600"/>
            <w:tcMar>
              <w:top w:type="dxa" w:w="60"/>
              <w:left w:type="dxa" w:w="90"/>
              <w:bottom w:type="dxa" w:w="60"/>
              <w:right w:type="dxa" w:w="90"/>
            </w:tcMar>
          </w:tcPr>
          <w:p>
            <w:pPr>
              <w:spacing w:after="40" w:line="252"/>
            </w:pPr>
            <w:r>
              <w:rPr>
                <w:sz w:val="19"/>
                <w:szCs w:val="19"/>
              </w:rPr>
              <w:t xml:space="preserve">Аудитория</w:t>
            </w:r>
          </w:p>
        </w:tc>
        <w:tc>
          <w:tcPr>
            <w:tcW w:type="dxa" w:w="6400"/>
            <w:tcMar>
              <w:top w:type="dxa" w:w="60"/>
              <w:left w:type="dxa" w:w="90"/>
              <w:bottom w:type="dxa" w:w="60"/>
              <w:right w:type="dxa" w:w="90"/>
            </w:tcMar>
          </w:tcPr>
          <w:p>
            <w:pPr>
              <w:spacing w:after="40" w:line="252"/>
            </w:pPr>
            <w:r>
              <w:rPr>
                <w:sz w:val="19"/>
                <w:szCs w:val="19"/>
              </w:rPr>
              <w:t xml:space="preserve">Все участники процесса, включая новых сотрудников филиалов и сторону клиента (акимат, полиция) — предусмотрена передача выдержек</w:t>
            </w:r>
          </w:p>
        </w:tc>
      </w:tr>
    </w:tbl>
    <w:p>
      <w:r>
        <w:br w:type="page"/>
      </w:r>
    </w:p>
    <w:p>
      <w:pPr>
        <w:pStyle w:val="Heading1"/>
        <w:spacing w:after="160" w:before="320"/>
      </w:pPr>
      <w:r>
        <w:rPr>
          <w:b/>
          <w:bCs/>
          <w:sz w:val="28"/>
          <w:szCs w:val="28"/>
        </w:rPr>
        <w:t xml:space="preserve">3. Пересмотр реестра узких мест</w:t>
      </w:r>
    </w:p>
    <w:p>
      <w:pPr>
        <w:spacing w:after="120" w:line="276"/>
      </w:pPr>
      <w:r>
        <w:t xml:space="preserve">Каждая из пятнадцати проблем повторно проверена по тексту методологии. Столбец «Было» — квалификация из предыдущего документа, столбец «Стало» — после прочтения. Указаны точные страницы для проверки. Сокращения в двух последних столбцах: «не исполн.» — процедура описана, но не выполняется; «устарело» — описана, но адресована упразднённым ролям; «пробел» — описания нет; «нов. риск» — проблема порождена переходом; «есть» — норматив имеется.</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20"/>
        <w:gridCol w:w="2280"/>
        <w:gridCol w:w="3700"/>
        <w:gridCol w:w="1300"/>
        <w:gridCol w:w="1300"/>
      </w:tblGrid>
      <w:tr>
        <w:trPr>
          <w:tblHeader/>
        </w:trPr>
        <w:tc>
          <w:tcPr>
            <w:tcW w:type="dxa" w:w="420"/>
            <w:shd w:fill="E8E8E4" w:color="auto" w:val="clear"/>
            <w:tcMar>
              <w:top w:type="dxa" w:w="60"/>
              <w:left w:type="dxa" w:w="90"/>
              <w:bottom w:type="dxa" w:w="60"/>
              <w:right w:type="dxa" w:w="90"/>
            </w:tcMar>
          </w:tcPr>
          <w:p>
            <w:pPr>
              <w:spacing w:after="40" w:line="252"/>
            </w:pPr>
            <w:r>
              <w:rPr>
                <w:b/>
                <w:bCs/>
                <w:sz w:val="19"/>
                <w:szCs w:val="19"/>
              </w:rPr>
              <w:t xml:space="preserve">№</w:t>
            </w:r>
          </w:p>
        </w:tc>
        <w:tc>
          <w:tcPr>
            <w:tcW w:type="dxa" w:w="2280"/>
            <w:shd w:fill="E8E8E4" w:color="auto" w:val="clear"/>
            <w:tcMar>
              <w:top w:type="dxa" w:w="60"/>
              <w:left w:type="dxa" w:w="90"/>
              <w:bottom w:type="dxa" w:w="60"/>
              <w:right w:type="dxa" w:w="90"/>
            </w:tcMar>
          </w:tcPr>
          <w:p>
            <w:pPr>
              <w:spacing w:after="40" w:line="252"/>
            </w:pPr>
            <w:r>
              <w:rPr>
                <w:b/>
                <w:bCs/>
                <w:sz w:val="19"/>
                <w:szCs w:val="19"/>
              </w:rPr>
              <w:t xml:space="preserve">Проблема</w:t>
            </w:r>
          </w:p>
        </w:tc>
        <w:tc>
          <w:tcPr>
            <w:tcW w:type="dxa" w:w="3700"/>
            <w:shd w:fill="E8E8E4" w:color="auto" w:val="clear"/>
            <w:tcMar>
              <w:top w:type="dxa" w:w="60"/>
              <w:left w:type="dxa" w:w="90"/>
              <w:bottom w:type="dxa" w:w="60"/>
              <w:right w:type="dxa" w:w="90"/>
            </w:tcMar>
          </w:tcPr>
          <w:p>
            <w:pPr>
              <w:spacing w:after="40" w:line="252"/>
            </w:pPr>
            <w:r>
              <w:rPr>
                <w:b/>
                <w:bCs/>
                <w:sz w:val="19"/>
                <w:szCs w:val="19"/>
              </w:rPr>
              <w:t xml:space="preserve">Что найдено в методологии</w:t>
            </w:r>
          </w:p>
        </w:tc>
        <w:tc>
          <w:tcPr>
            <w:tcW w:type="dxa" w:w="1300"/>
            <w:shd w:fill="E8E8E4" w:color="auto" w:val="clear"/>
            <w:tcMar>
              <w:top w:type="dxa" w:w="60"/>
              <w:left w:type="dxa" w:w="90"/>
              <w:bottom w:type="dxa" w:w="60"/>
              <w:right w:type="dxa" w:w="90"/>
            </w:tcMar>
          </w:tcPr>
          <w:p>
            <w:pPr>
              <w:spacing w:after="40" w:line="252"/>
            </w:pPr>
            <w:r>
              <w:rPr>
                <w:b/>
                <w:bCs/>
                <w:sz w:val="19"/>
                <w:szCs w:val="19"/>
              </w:rPr>
              <w:t xml:space="preserve">Было</w:t>
            </w:r>
          </w:p>
        </w:tc>
        <w:tc>
          <w:tcPr>
            <w:tcW w:type="dxa" w:w="1300"/>
            <w:shd w:fill="E8E8E4" w:color="auto" w:val="clear"/>
            <w:tcMar>
              <w:top w:type="dxa" w:w="60"/>
              <w:left w:type="dxa" w:w="90"/>
              <w:bottom w:type="dxa" w:w="60"/>
              <w:right w:type="dxa" w:w="90"/>
            </w:tcMar>
          </w:tcPr>
          <w:p>
            <w:pPr>
              <w:spacing w:after="40" w:line="252"/>
            </w:pPr>
            <w:r>
              <w:rPr>
                <w:b/>
                <w:bCs/>
                <w:sz w:val="19"/>
                <w:szCs w:val="19"/>
              </w:rPr>
              <w:t xml:space="preserve">Стало</w:t>
            </w:r>
          </w:p>
        </w:tc>
      </w:tr>
      <w:tr>
        <w:trPr>
          <w:cantSplit/>
        </w:trPr>
        <w:tc>
          <w:tcPr>
            <w:tcW w:type="dxa" w:w="420"/>
            <w:tcMar>
              <w:top w:type="dxa" w:w="60"/>
              <w:left w:type="dxa" w:w="90"/>
              <w:bottom w:type="dxa" w:w="60"/>
              <w:right w:type="dxa" w:w="90"/>
            </w:tcMar>
          </w:tcPr>
          <w:p>
            <w:pPr>
              <w:spacing w:after="40" w:line="252"/>
            </w:pPr>
            <w:r>
              <w:rPr>
                <w:sz w:val="19"/>
                <w:szCs w:val="19"/>
              </w:rPr>
              <w:t xml:space="preserve">1</w:t>
            </w:r>
          </w:p>
        </w:tc>
        <w:tc>
          <w:tcPr>
            <w:tcW w:type="dxa" w:w="2280"/>
            <w:tcMar>
              <w:top w:type="dxa" w:w="60"/>
              <w:left w:type="dxa" w:w="90"/>
              <w:bottom w:type="dxa" w:w="60"/>
              <w:right w:type="dxa" w:w="90"/>
            </w:tcMar>
          </w:tcPr>
          <w:p>
            <w:pPr>
              <w:spacing w:after="40" w:line="252"/>
            </w:pPr>
            <w:r>
              <w:rPr>
                <w:sz w:val="19"/>
                <w:szCs w:val="19"/>
              </w:rPr>
              <w:t xml:space="preserve">Неполные входные данные от ДРБ</w:t>
            </w:r>
          </w:p>
        </w:tc>
        <w:tc>
          <w:tcPr>
            <w:tcW w:type="dxa" w:w="3700"/>
            <w:tcMar>
              <w:top w:type="dxa" w:w="60"/>
              <w:left w:type="dxa" w:w="90"/>
              <w:bottom w:type="dxa" w:w="60"/>
              <w:right w:type="dxa" w:w="90"/>
            </w:tcMar>
          </w:tcPr>
          <w:p>
            <w:pPr>
              <w:spacing w:after="40" w:line="252"/>
            </w:pPr>
            <w:r>
              <w:rPr>
                <w:sz w:val="19"/>
                <w:szCs w:val="19"/>
              </w:rPr>
              <w:t xml:space="preserve">п. 1.1.5, стр. 60: передача документации в ДУП в течение 5 дней после заключения договора либо издания приказа. Перечень из восьми позиций — на одну больше, чем в алгоритме (добавлен информационный листок)</w:t>
            </w:r>
          </w:p>
        </w:tc>
        <w:tc>
          <w:tcPr>
            <w:tcW w:type="dxa" w:w="1300"/>
            <w:tcMar>
              <w:top w:type="dxa" w:w="60"/>
              <w:left w:type="dxa" w:w="90"/>
              <w:bottom w:type="dxa" w:w="60"/>
              <w:right w:type="dxa" w:w="90"/>
            </w:tcMar>
          </w:tcPr>
          <w:p>
            <w:pPr>
              <w:spacing w:after="40" w:line="252"/>
            </w:pPr>
            <w:r>
              <w:rPr>
                <w:sz w:val="19"/>
                <w:szCs w:val="19"/>
              </w:rPr>
              <w:t xml:space="preserve">Не исполн.</w:t>
            </w:r>
          </w:p>
        </w:tc>
        <w:tc>
          <w:tcPr>
            <w:tcW w:type="dxa" w:w="1300"/>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2</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Продукт без завершённого пилота</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1.1.1, стр. 24: методика расчёта состава проекта в четырёх вариантах; п. 2.1.3, стр. 109–203: техническая спецификация решения; п. 2.2.4, стр. 358: протокол выбора технологических решений. Все три относятся к решению проекта, не к готовности продукта</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Пробел</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Пробел</w:t>
            </w:r>
          </w:p>
        </w:tc>
      </w:tr>
      <w:tr>
        <w:trPr>
          <w:cantSplit/>
        </w:trPr>
        <w:tc>
          <w:tcPr>
            <w:tcW w:type="dxa" w:w="420"/>
            <w:tcMar>
              <w:top w:type="dxa" w:w="60"/>
              <w:left w:type="dxa" w:w="90"/>
              <w:bottom w:type="dxa" w:w="60"/>
              <w:right w:type="dxa" w:w="90"/>
            </w:tcMar>
          </w:tcPr>
          <w:p>
            <w:pPr>
              <w:spacing w:after="40" w:line="252"/>
            </w:pPr>
            <w:r>
              <w:rPr>
                <w:sz w:val="19"/>
                <w:szCs w:val="19"/>
              </w:rPr>
              <w:t xml:space="preserve">3</w:t>
            </w:r>
          </w:p>
        </w:tc>
        <w:tc>
          <w:tcPr>
            <w:tcW w:type="dxa" w:w="2280"/>
            <w:tcMar>
              <w:top w:type="dxa" w:w="60"/>
              <w:left w:type="dxa" w:w="90"/>
              <w:bottom w:type="dxa" w:w="60"/>
              <w:right w:type="dxa" w:w="90"/>
            </w:tcMar>
          </w:tcPr>
          <w:p>
            <w:pPr>
              <w:spacing w:after="40" w:line="252"/>
            </w:pPr>
            <w:r>
              <w:rPr>
                <w:sz w:val="19"/>
                <w:szCs w:val="19"/>
              </w:rPr>
              <w:t xml:space="preserve">Нет подтверждения готовности продукта</w:t>
            </w:r>
          </w:p>
        </w:tc>
        <w:tc>
          <w:tcPr>
            <w:tcW w:type="dxa" w:w="3700"/>
            <w:tcMar>
              <w:top w:type="dxa" w:w="60"/>
              <w:left w:type="dxa" w:w="90"/>
              <w:bottom w:type="dxa" w:w="60"/>
              <w:right w:type="dxa" w:w="90"/>
            </w:tcMar>
          </w:tcPr>
          <w:p>
            <w:pPr>
              <w:spacing w:after="40" w:line="252"/>
            </w:pPr>
            <w:r>
              <w:rPr>
                <w:sz w:val="19"/>
                <w:szCs w:val="19"/>
              </w:rPr>
              <w:t xml:space="preserve">Процедуры вывода продукта на рынок в методологии нет — она описывает внедрение уже существующего продукта</w:t>
            </w:r>
          </w:p>
        </w:tc>
        <w:tc>
          <w:tcPr>
            <w:tcW w:type="dxa" w:w="1300"/>
            <w:tcMar>
              <w:top w:type="dxa" w:w="60"/>
              <w:left w:type="dxa" w:w="90"/>
              <w:bottom w:type="dxa" w:w="60"/>
              <w:right w:type="dxa" w:w="90"/>
            </w:tcMar>
          </w:tcPr>
          <w:p>
            <w:pPr>
              <w:spacing w:after="40" w:line="252"/>
            </w:pPr>
            <w:r>
              <w:rPr>
                <w:sz w:val="19"/>
                <w:szCs w:val="19"/>
              </w:rPr>
              <w:t xml:space="preserve">Пробел</w:t>
            </w:r>
          </w:p>
        </w:tc>
        <w:tc>
          <w:tcPr>
            <w:tcW w:type="dxa" w:w="1300"/>
            <w:tcMar>
              <w:top w:type="dxa" w:w="60"/>
              <w:left w:type="dxa" w:w="90"/>
              <w:bottom w:type="dxa" w:w="60"/>
              <w:right w:type="dxa" w:w="90"/>
            </w:tcMar>
          </w:tcPr>
          <w:p>
            <w:pPr>
              <w:spacing w:after="40" w:line="252"/>
            </w:pPr>
            <w:r>
              <w:rPr>
                <w:sz w:val="19"/>
                <w:szCs w:val="19"/>
              </w:rPr>
              <w:t xml:space="preserve">Пробел</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4</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Проекты в обход ДУП</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1.1.5 делает передачу в ДУП обязательным этапом; п. 3.1, стр. 388 закрепляет за ЦА контроль соответствия методологии</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Не исполн.</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tcMar>
              <w:top w:type="dxa" w:w="60"/>
              <w:left w:type="dxa" w:w="90"/>
              <w:bottom w:type="dxa" w:w="60"/>
              <w:right w:type="dxa" w:w="90"/>
            </w:tcMar>
          </w:tcPr>
          <w:p>
            <w:pPr>
              <w:spacing w:after="40" w:line="252"/>
            </w:pPr>
            <w:r>
              <w:rPr>
                <w:sz w:val="19"/>
                <w:szCs w:val="19"/>
              </w:rPr>
              <w:t xml:space="preserve">5</w:t>
            </w:r>
          </w:p>
        </w:tc>
        <w:tc>
          <w:tcPr>
            <w:tcW w:type="dxa" w:w="2280"/>
            <w:tcMar>
              <w:top w:type="dxa" w:w="60"/>
              <w:left w:type="dxa" w:w="90"/>
              <w:bottom w:type="dxa" w:w="60"/>
              <w:right w:type="dxa" w:w="90"/>
            </w:tcMar>
          </w:tcPr>
          <w:p>
            <w:pPr>
              <w:spacing w:after="40" w:line="252"/>
            </w:pPr>
            <w:r>
              <w:rPr>
                <w:sz w:val="19"/>
                <w:szCs w:val="19"/>
              </w:rPr>
              <w:t xml:space="preserve">Эскалация внешних партнёров напрямую руководству</w:t>
            </w:r>
          </w:p>
        </w:tc>
        <w:tc>
          <w:tcPr>
            <w:tcW w:type="dxa" w:w="3700"/>
            <w:tcMar>
              <w:top w:type="dxa" w:w="60"/>
              <w:left w:type="dxa" w:w="90"/>
              <w:bottom w:type="dxa" w:w="60"/>
              <w:right w:type="dxa" w:w="90"/>
            </w:tcMar>
          </w:tcPr>
          <w:p>
            <w:pPr>
              <w:spacing w:after="40" w:line="252"/>
            </w:pPr>
            <w:r>
              <w:rPr>
                <w:sz w:val="19"/>
                <w:szCs w:val="19"/>
              </w:rPr>
              <w:t xml:space="preserve">п. 3.2.2, стр. 397–401: порядок эскалации с тремя уровнями критичности, поимённым перечнем контактных лиц, каналами (телефон, e-mail, Telegram-чаты) и таймингом реагирования — немедленно, через 15 минут, через 30 минут, 1–7 дней. Плюс п. 2.1.7–2.1.8, стр. 211–213: план коммуникаций и реестр заинтересованных сторон</w:t>
            </w:r>
          </w:p>
        </w:tc>
        <w:tc>
          <w:tcPr>
            <w:tcW w:type="dxa" w:w="1300"/>
            <w:tcMar>
              <w:top w:type="dxa" w:w="60"/>
              <w:left w:type="dxa" w:w="90"/>
              <w:bottom w:type="dxa" w:w="60"/>
              <w:right w:type="dxa" w:w="90"/>
            </w:tcMar>
          </w:tcPr>
          <w:p>
            <w:pPr>
              <w:spacing w:after="40" w:line="252"/>
            </w:pPr>
            <w:r>
              <w:rPr>
                <w:sz w:val="19"/>
                <w:szCs w:val="19"/>
              </w:rPr>
              <w:t xml:space="preserve">Пробел</w:t>
            </w:r>
          </w:p>
        </w:tc>
        <w:tc>
          <w:tcPr>
            <w:tcW w:type="dxa" w:w="1300"/>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6</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Прогноз поступлений не формализован</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3.2.4.6, стр. 453: сроки первых выплат — заявка в ГП до 10 р. д. с акта ввода, выплата КОЗ 10 р. д., КИЗ 15 р. д., ВУ 30 р. д. с даты заявки. п. 4.3, стр. 926: план-факт анализ ежемесячно с 25 по 30 число, отчёт направляется в ДУП</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Пробел</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tcMar>
              <w:top w:type="dxa" w:w="60"/>
              <w:left w:type="dxa" w:w="90"/>
              <w:bottom w:type="dxa" w:w="60"/>
              <w:right w:type="dxa" w:w="90"/>
            </w:tcMar>
          </w:tcPr>
          <w:p>
            <w:pPr>
              <w:spacing w:after="40" w:line="252"/>
            </w:pPr>
            <w:r>
              <w:rPr>
                <w:sz w:val="19"/>
                <w:szCs w:val="19"/>
              </w:rPr>
              <w:t xml:space="preserve">7</w:t>
            </w:r>
          </w:p>
        </w:tc>
        <w:tc>
          <w:tcPr>
            <w:tcW w:type="dxa" w:w="2280"/>
            <w:tcMar>
              <w:top w:type="dxa" w:w="60"/>
              <w:left w:type="dxa" w:w="90"/>
              <w:bottom w:type="dxa" w:w="60"/>
              <w:right w:type="dxa" w:w="90"/>
            </w:tcMar>
          </w:tcPr>
          <w:p>
            <w:pPr>
              <w:spacing w:after="40" w:line="252"/>
            </w:pPr>
            <w:r>
              <w:rPr>
                <w:sz w:val="19"/>
                <w:szCs w:val="19"/>
              </w:rPr>
              <w:t xml:space="preserve">Прогноз расходов ДУП — Финблок</w:t>
            </w:r>
          </w:p>
        </w:tc>
        <w:tc>
          <w:tcPr>
            <w:tcW w:type="dxa" w:w="3700"/>
            <w:tcMar>
              <w:top w:type="dxa" w:w="60"/>
              <w:left w:type="dxa" w:w="90"/>
              <w:bottom w:type="dxa" w:w="60"/>
              <w:right w:type="dxa" w:w="90"/>
            </w:tcMar>
          </w:tcPr>
          <w:p>
            <w:pPr>
              <w:spacing w:after="40" w:line="252"/>
            </w:pPr>
            <w:r>
              <w:rPr>
                <w:sz w:val="19"/>
                <w:szCs w:val="19"/>
              </w:rPr>
              <w:t xml:space="preserve">п. 4.3, стр. 926–928: контроль исполнения бюджета в разрезе статей ФЭМ, ресурс — 1С, отдельный подраздел «Затраты, не предусмотренные ФЭМ». Перечень из 12 позиций отчётности бухгалтера филиала со сроками</w:t>
            </w:r>
          </w:p>
        </w:tc>
        <w:tc>
          <w:tcPr>
            <w:tcW w:type="dxa" w:w="1300"/>
            <w:tcMar>
              <w:top w:type="dxa" w:w="60"/>
              <w:left w:type="dxa" w:w="90"/>
              <w:bottom w:type="dxa" w:w="60"/>
              <w:right w:type="dxa" w:w="90"/>
            </w:tcMar>
          </w:tcPr>
          <w:p>
            <w:pPr>
              <w:spacing w:after="40" w:line="252"/>
            </w:pPr>
            <w:r>
              <w:rPr>
                <w:sz w:val="19"/>
                <w:szCs w:val="19"/>
              </w:rPr>
              <w:t xml:space="preserve">Пробел</w:t>
            </w:r>
          </w:p>
        </w:tc>
        <w:tc>
          <w:tcPr>
            <w:tcW w:type="dxa" w:w="1300"/>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8</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Размытая ответственность куратора</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3.1, стр. 388 и п. 3.2, стр. 389–392: раздельные перечни работ проектного менеджера ЦА и проектного менеджера филиала. п. 2.1.9, стр. 214–217: реестр ответственности подрядчиков и филиала по каждому объекту</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Устарело</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Устарело</w:t>
            </w:r>
          </w:p>
        </w:tc>
      </w:tr>
      <w:tr>
        <w:trPr>
          <w:cantSplit/>
        </w:trPr>
        <w:tc>
          <w:tcPr>
            <w:tcW w:type="dxa" w:w="420"/>
            <w:tcMar>
              <w:top w:type="dxa" w:w="60"/>
              <w:left w:type="dxa" w:w="90"/>
              <w:bottom w:type="dxa" w:w="60"/>
              <w:right w:type="dxa" w:w="90"/>
            </w:tcMar>
          </w:tcPr>
          <w:p>
            <w:pPr>
              <w:spacing w:after="40" w:line="252"/>
            </w:pPr>
            <w:r>
              <w:rPr>
                <w:sz w:val="19"/>
                <w:szCs w:val="19"/>
              </w:rPr>
              <w:t xml:space="preserve">9</w:t>
            </w:r>
          </w:p>
        </w:tc>
        <w:tc>
          <w:tcPr>
            <w:tcW w:type="dxa" w:w="2280"/>
            <w:tcMar>
              <w:top w:type="dxa" w:w="60"/>
              <w:left w:type="dxa" w:w="90"/>
              <w:bottom w:type="dxa" w:w="60"/>
              <w:right w:type="dxa" w:w="90"/>
            </w:tcMar>
          </w:tcPr>
          <w:p>
            <w:pPr>
              <w:spacing w:after="40" w:line="252"/>
            </w:pPr>
            <w:r>
              <w:rPr>
                <w:sz w:val="19"/>
                <w:szCs w:val="19"/>
              </w:rPr>
              <w:t xml:space="preserve">Нет обратной связи от эксплуатации</w:t>
            </w:r>
          </w:p>
        </w:tc>
        <w:tc>
          <w:tcPr>
            <w:tcW w:type="dxa" w:w="3700"/>
            <w:tcMar>
              <w:top w:type="dxa" w:w="60"/>
              <w:left w:type="dxa" w:w="90"/>
              <w:bottom w:type="dxa" w:w="60"/>
              <w:right w:type="dxa" w:w="90"/>
            </w:tcMar>
          </w:tcPr>
          <w:p>
            <w:pPr>
              <w:spacing w:after="40" w:line="252"/>
            </w:pPr>
            <w:r>
              <w:rPr>
                <w:sz w:val="19"/>
                <w:szCs w:val="19"/>
              </w:rPr>
              <w:t xml:space="preserve">Извлечённые уроки как обязательный элемент четырёх стадий: стр. 61, 225, 475, 935. Заполненный реестр по пяти городам уже в документе. п. 3.1, подпункт 3: при системности выявленных причин ЦА обязан вносить изменения в методологию</w:t>
            </w:r>
          </w:p>
        </w:tc>
        <w:tc>
          <w:tcPr>
            <w:tcW w:type="dxa" w:w="1300"/>
            <w:tcMar>
              <w:top w:type="dxa" w:w="60"/>
              <w:left w:type="dxa" w:w="90"/>
              <w:bottom w:type="dxa" w:w="60"/>
              <w:right w:type="dxa" w:w="90"/>
            </w:tcMar>
          </w:tcPr>
          <w:p>
            <w:pPr>
              <w:spacing w:after="40" w:line="252"/>
            </w:pPr>
            <w:r>
              <w:rPr>
                <w:sz w:val="19"/>
                <w:szCs w:val="19"/>
              </w:rPr>
              <w:t xml:space="preserve">Не исполн.</w:t>
            </w:r>
          </w:p>
        </w:tc>
        <w:tc>
          <w:tcPr>
            <w:tcW w:type="dxa" w:w="1300"/>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10</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Устаревшая методика поверки</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3.2.4.2, стр. 409: поверка каждые 2 года, независимая оценочная организация, обязательное присутствие техспециалиста филиала, протокол испытания, оцифровка сертификатов, инициирование повторной поверки за 2 месяца до истечения</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Пробел</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tcMar>
              <w:top w:type="dxa" w:w="60"/>
              <w:left w:type="dxa" w:w="90"/>
              <w:bottom w:type="dxa" w:w="60"/>
              <w:right w:type="dxa" w:w="90"/>
            </w:tcMar>
          </w:tcPr>
          <w:p>
            <w:pPr>
              <w:spacing w:after="40" w:line="252"/>
            </w:pPr>
            <w:r>
              <w:rPr>
                <w:sz w:val="19"/>
                <w:szCs w:val="19"/>
              </w:rPr>
              <w:t xml:space="preserve">11</w:t>
            </w:r>
          </w:p>
        </w:tc>
        <w:tc>
          <w:tcPr>
            <w:tcW w:type="dxa" w:w="2280"/>
            <w:tcMar>
              <w:top w:type="dxa" w:w="60"/>
              <w:left w:type="dxa" w:w="90"/>
              <w:bottom w:type="dxa" w:w="60"/>
              <w:right w:type="dxa" w:w="90"/>
            </w:tcMar>
          </w:tcPr>
          <w:p>
            <w:pPr>
              <w:spacing w:after="40" w:line="252"/>
            </w:pPr>
            <w:r>
              <w:rPr>
                <w:sz w:val="19"/>
                <w:szCs w:val="19"/>
              </w:rPr>
              <w:t xml:space="preserve">Нормативы стоимости в ФЭМ не актуализируются</w:t>
            </w:r>
          </w:p>
        </w:tc>
        <w:tc>
          <w:tcPr>
            <w:tcW w:type="dxa" w:w="3700"/>
            <w:tcMar>
              <w:top w:type="dxa" w:w="60"/>
              <w:left w:type="dxa" w:w="90"/>
              <w:bottom w:type="dxa" w:w="60"/>
              <w:right w:type="dxa" w:w="90"/>
            </w:tcMar>
          </w:tcPr>
          <w:p>
            <w:pPr>
              <w:spacing w:after="40" w:line="252"/>
            </w:pPr>
            <w:r>
              <w:rPr>
                <w:sz w:val="19"/>
                <w:szCs w:val="19"/>
              </w:rPr>
              <w:t xml:space="preserve">п. 2.3.1, стр. 362–363: маркетинговый анализ цен — бизнес-процесс из 15 шагов с RFP, двумя итерациями коммерческих предложений, сводной таблицей, протоколом экспертного совета и решением собрания руководителей. Срок от 10 дней</w:t>
            </w:r>
          </w:p>
        </w:tc>
        <w:tc>
          <w:tcPr>
            <w:tcW w:type="dxa" w:w="1300"/>
            <w:tcMar>
              <w:top w:type="dxa" w:w="60"/>
              <w:left w:type="dxa" w:w="90"/>
              <w:bottom w:type="dxa" w:w="60"/>
              <w:right w:type="dxa" w:w="90"/>
            </w:tcMar>
          </w:tcPr>
          <w:p>
            <w:pPr>
              <w:spacing w:after="40" w:line="252"/>
            </w:pPr>
            <w:r>
              <w:rPr>
                <w:sz w:val="19"/>
                <w:szCs w:val="19"/>
              </w:rPr>
              <w:t xml:space="preserve">Пробел</w:t>
            </w:r>
          </w:p>
        </w:tc>
        <w:tc>
          <w:tcPr>
            <w:tcW w:type="dxa" w:w="1300"/>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12</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Фактический объём переносов расходится с ФЭМ</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3.3.2.8, стр. 872–873: процедура поиска участков для переноса АПК с критериями и согласованием с ГП. п. 4.3: учёт затрат, не предусмотренных ФЭМ, выделен в отдельный подраздел отчёта</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Пробел</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tcMar>
              <w:top w:type="dxa" w:w="60"/>
              <w:left w:type="dxa" w:w="90"/>
              <w:bottom w:type="dxa" w:w="60"/>
              <w:right w:type="dxa" w:w="90"/>
            </w:tcMar>
          </w:tcPr>
          <w:p>
            <w:pPr>
              <w:spacing w:after="40" w:line="252"/>
            </w:pPr>
            <w:r>
              <w:rPr>
                <w:sz w:val="19"/>
                <w:szCs w:val="19"/>
              </w:rPr>
              <w:t xml:space="preserve">13</w:t>
            </w:r>
          </w:p>
        </w:tc>
        <w:tc>
          <w:tcPr>
            <w:tcW w:type="dxa" w:w="2280"/>
            <w:tcMar>
              <w:top w:type="dxa" w:w="60"/>
              <w:left w:type="dxa" w:w="90"/>
              <w:bottom w:type="dxa" w:w="60"/>
              <w:right w:type="dxa" w:w="90"/>
            </w:tcMar>
          </w:tcPr>
          <w:p>
            <w:pPr>
              <w:spacing w:after="40" w:line="252"/>
            </w:pPr>
            <w:r>
              <w:rPr>
                <w:sz w:val="19"/>
                <w:szCs w:val="19"/>
              </w:rPr>
              <w:t xml:space="preserve">Длительные закупочные процедуры</w:t>
            </w:r>
          </w:p>
        </w:tc>
        <w:tc>
          <w:tcPr>
            <w:tcW w:type="dxa" w:w="3700"/>
            <w:tcMar>
              <w:top w:type="dxa" w:w="60"/>
              <w:left w:type="dxa" w:w="90"/>
              <w:bottom w:type="dxa" w:w="60"/>
              <w:right w:type="dxa" w:w="90"/>
            </w:tcMar>
          </w:tcPr>
          <w:p>
            <w:pPr>
              <w:spacing w:after="40" w:line="252"/>
            </w:pPr>
            <w:r>
              <w:rPr>
                <w:sz w:val="19"/>
                <w:szCs w:val="19"/>
              </w:rPr>
              <w:t xml:space="preserve">п. 2.3.3, стр. 365: план закупок в течение 5 р. д. после утверждения ФЭМ и плана проекта, привязка каждой позиции к статье ФЭМ. п. 2.3.1: нормативы по каждому из 15 шагов закупки, включая 14 дней на заключение договоров и месяц на логистику</w:t>
            </w:r>
          </w:p>
        </w:tc>
        <w:tc>
          <w:tcPr>
            <w:tcW w:type="dxa" w:w="1300"/>
            <w:tcMar>
              <w:top w:type="dxa" w:w="60"/>
              <w:left w:type="dxa" w:w="90"/>
              <w:bottom w:type="dxa" w:w="60"/>
              <w:right w:type="dxa" w:w="90"/>
            </w:tcMar>
          </w:tcPr>
          <w:p>
            <w:pPr>
              <w:spacing w:after="40" w:line="252"/>
            </w:pPr>
            <w:r>
              <w:rPr>
                <w:sz w:val="19"/>
                <w:szCs w:val="19"/>
              </w:rPr>
              <w:t xml:space="preserve">Пробел</w:t>
            </w:r>
          </w:p>
        </w:tc>
        <w:tc>
          <w:tcPr>
            <w:tcW w:type="dxa" w:w="1300"/>
            <w:tcMar>
              <w:top w:type="dxa" w:w="60"/>
              <w:left w:type="dxa" w:w="90"/>
              <w:bottom w:type="dxa" w:w="60"/>
              <w:right w:type="dxa" w:w="90"/>
            </w:tcMar>
          </w:tcPr>
          <w:p>
            <w:pPr>
              <w:spacing w:after="40" w:line="252"/>
            </w:pPr>
            <w:r>
              <w:rPr>
                <w:sz w:val="19"/>
                <w:szCs w:val="19"/>
              </w:rPr>
              <w:t xml:space="preserve">Не исполн.</w:t>
            </w:r>
          </w:p>
        </w:tc>
      </w:tr>
      <w:tr>
        <w:trPr>
          <w:cantSplit/>
        </w:trPr>
        <w:tc>
          <w:tcPr>
            <w:tcW w:type="dxa" w:w="420"/>
            <w:shd w:fill="F7F7F5" w:color="auto" w:val="clear"/>
            <w:tcMar>
              <w:top w:type="dxa" w:w="60"/>
              <w:left w:type="dxa" w:w="90"/>
              <w:bottom w:type="dxa" w:w="60"/>
              <w:right w:type="dxa" w:w="90"/>
            </w:tcMar>
          </w:tcPr>
          <w:p>
            <w:pPr>
              <w:spacing w:after="40" w:line="252"/>
            </w:pPr>
            <w:r>
              <w:rPr>
                <w:sz w:val="19"/>
                <w:szCs w:val="19"/>
              </w:rPr>
              <w:t xml:space="preserve">14</w:t>
            </w:r>
          </w:p>
        </w:tc>
        <w:tc>
          <w:tcPr>
            <w:tcW w:type="dxa" w:w="2280"/>
            <w:shd w:fill="F7F7F5" w:color="auto" w:val="clear"/>
            <w:tcMar>
              <w:top w:type="dxa" w:w="60"/>
              <w:left w:type="dxa" w:w="90"/>
              <w:bottom w:type="dxa" w:w="60"/>
              <w:right w:type="dxa" w:w="90"/>
            </w:tcMar>
          </w:tcPr>
          <w:p>
            <w:pPr>
              <w:spacing w:after="40" w:line="252"/>
            </w:pPr>
            <w:r>
              <w:rPr>
                <w:sz w:val="19"/>
                <w:szCs w:val="19"/>
              </w:rPr>
              <w:t xml:space="preserve">Платформа портфеля работает не полностью</w:t>
            </w:r>
          </w:p>
        </w:tc>
        <w:tc>
          <w:tcPr>
            <w:tcW w:type="dxa" w:w="3700"/>
            <w:shd w:fill="F7F7F5" w:color="auto" w:val="clear"/>
            <w:tcMar>
              <w:top w:type="dxa" w:w="60"/>
              <w:left w:type="dxa" w:w="90"/>
              <w:bottom w:type="dxa" w:w="60"/>
              <w:right w:type="dxa" w:w="90"/>
            </w:tcMar>
          </w:tcPr>
          <w:p>
            <w:pPr>
              <w:spacing w:after="40" w:line="252"/>
            </w:pPr>
            <w:r>
              <w:rPr>
                <w:sz w:val="19"/>
                <w:szCs w:val="19"/>
              </w:rPr>
              <w:t xml:space="preserve">п. 2.1.11, стр. 219–224: структура пространства филиала в Confluence — методология предполагает Confluence и Jira как рабочую среду</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Нов. риск</w:t>
            </w:r>
          </w:p>
        </w:tc>
        <w:tc>
          <w:tcPr>
            <w:tcW w:type="dxa" w:w="1300"/>
            <w:shd w:fill="F7F7F5" w:color="auto" w:val="clear"/>
            <w:tcMar>
              <w:top w:type="dxa" w:w="60"/>
              <w:left w:type="dxa" w:w="90"/>
              <w:bottom w:type="dxa" w:w="60"/>
              <w:right w:type="dxa" w:w="90"/>
            </w:tcMar>
          </w:tcPr>
          <w:p>
            <w:pPr>
              <w:spacing w:after="40" w:line="252"/>
            </w:pPr>
            <w:r>
              <w:rPr>
                <w:sz w:val="19"/>
                <w:szCs w:val="19"/>
              </w:rPr>
              <w:t xml:space="preserve">Нов. риск</w:t>
            </w:r>
          </w:p>
        </w:tc>
      </w:tr>
      <w:tr>
        <w:trPr>
          <w:cantSplit/>
        </w:trPr>
        <w:tc>
          <w:tcPr>
            <w:tcW w:type="dxa" w:w="420"/>
            <w:tcMar>
              <w:top w:type="dxa" w:w="60"/>
              <w:left w:type="dxa" w:w="90"/>
              <w:bottom w:type="dxa" w:w="60"/>
              <w:right w:type="dxa" w:w="90"/>
            </w:tcMar>
          </w:tcPr>
          <w:p>
            <w:pPr>
              <w:spacing w:after="40" w:line="252"/>
            </w:pPr>
            <w:r>
              <w:rPr>
                <w:sz w:val="19"/>
                <w:szCs w:val="19"/>
              </w:rPr>
              <w:t xml:space="preserve">15</w:t>
            </w:r>
          </w:p>
        </w:tc>
        <w:tc>
          <w:tcPr>
            <w:tcW w:type="dxa" w:w="2280"/>
            <w:tcMar>
              <w:top w:type="dxa" w:w="60"/>
              <w:left w:type="dxa" w:w="90"/>
              <w:bottom w:type="dxa" w:w="60"/>
              <w:right w:type="dxa" w:w="90"/>
            </w:tcMar>
          </w:tcPr>
          <w:p>
            <w:pPr>
              <w:spacing w:after="40" w:line="252"/>
            </w:pPr>
            <w:r>
              <w:rPr>
                <w:sz w:val="19"/>
                <w:szCs w:val="19"/>
              </w:rPr>
              <w:t xml:space="preserve">Оргструктура и ДИ в процессе изменения</w:t>
            </w:r>
          </w:p>
        </w:tc>
        <w:tc>
          <w:tcPr>
            <w:tcW w:type="dxa" w:w="3700"/>
            <w:tcMar>
              <w:top w:type="dxa" w:w="60"/>
              <w:left w:type="dxa" w:w="90"/>
              <w:bottom w:type="dxa" w:w="60"/>
              <w:right w:type="dxa" w:w="90"/>
            </w:tcMar>
          </w:tcPr>
          <w:p>
            <w:pPr>
              <w:spacing w:after="40" w:line="252"/>
            </w:pPr>
            <w:r>
              <w:rPr>
                <w:sz w:val="19"/>
                <w:szCs w:val="19"/>
              </w:rPr>
              <w:t xml:space="preserve">п. 2.4.1–2.4.2, стр. 368–369: разработка оргструктуры и штатного расписания филиала. п. 3.5, стр. 882–885: три типовых комплекта ДИ в зависимости от масштаба — до 50 АПК (5 инструкций), 50–200 АПК (14), свыше 200 АПК (15)</w:t>
            </w:r>
          </w:p>
        </w:tc>
        <w:tc>
          <w:tcPr>
            <w:tcW w:type="dxa" w:w="1300"/>
            <w:tcMar>
              <w:top w:type="dxa" w:w="60"/>
              <w:left w:type="dxa" w:w="90"/>
              <w:bottom w:type="dxa" w:w="60"/>
              <w:right w:type="dxa" w:w="90"/>
            </w:tcMar>
          </w:tcPr>
          <w:p>
            <w:pPr>
              <w:spacing w:after="40" w:line="252"/>
            </w:pPr>
            <w:r>
              <w:rPr>
                <w:sz w:val="19"/>
                <w:szCs w:val="19"/>
              </w:rPr>
              <w:t xml:space="preserve">Нов. риск</w:t>
            </w:r>
          </w:p>
        </w:tc>
        <w:tc>
          <w:tcPr>
            <w:tcW w:type="dxa" w:w="1300"/>
            <w:tcMar>
              <w:top w:type="dxa" w:w="60"/>
              <w:left w:type="dxa" w:w="90"/>
              <w:bottom w:type="dxa" w:w="60"/>
              <w:right w:type="dxa" w:w="90"/>
            </w:tcMar>
          </w:tcPr>
          <w:p>
            <w:pPr>
              <w:spacing w:after="40" w:line="252"/>
            </w:pPr>
            <w:r>
              <w:rPr>
                <w:sz w:val="19"/>
                <w:szCs w:val="19"/>
              </w:rPr>
              <w:t xml:space="preserve">Есть</w:t>
            </w:r>
          </w:p>
        </w:tc>
      </w:tr>
    </w:tbl>
    <w:p>
      <w:pPr>
        <w:spacing w:after="120" w:line="276"/>
      </w:pPr>
      <w:r>
        <w:t xml:space="preserve">Итоговое распределение изменилось радикально. Было: полное покрытие — 3, частичное — 5, пробел — 5, новый риск — 2. Стало: покрыто нормативно — 12, подлинный пробел — 2 (позиции 2 и 3, по существу одна задача), новый риск — 1.</w:t>
      </w:r>
    </w:p>
    <w:p>
      <w:pPr>
        <w:spacing w:after="120" w:line="276"/>
      </w:pPr>
      <w:r>
        <w:rPr>
          <w:b/>
          <w:bCs/>
        </w:rPr>
        <w:t xml:space="preserve">Смысл пересмотра. </w:t>
      </w:r>
      <w:r>
        <w:t xml:space="preserve">Двенадцать из пятнадцати узких мест, зафиксированных обследованием 2026 года как проблемы процесса, имеют описанную, утверждённую и датированную процедуру с назначенным исполнителем и сроком. Это означает, что предмет работы ДУП сейчас — не процессный инжиниринг, а восстановление исполнительской дисциплины и актуализация уже существующего свода.</w:t>
      </w:r>
    </w:p>
    <w:p>
      <w:r>
        <w:br w:type="page"/>
      </w:r>
    </w:p>
    <w:p>
      <w:pPr>
        <w:pStyle w:val="Heading1"/>
        <w:spacing w:after="160" w:before="320"/>
      </w:pPr>
      <w:r>
        <w:rPr>
          <w:b/>
          <w:bCs/>
          <w:sz w:val="28"/>
          <w:szCs w:val="28"/>
        </w:rPr>
        <w:t xml:space="preserve">4. Что методология даёт сверх обоих слоёв</w:t>
      </w:r>
    </w:p>
    <w:p>
      <w:pPr>
        <w:pStyle w:val="Heading2"/>
        <w:spacing w:after="120" w:before="240"/>
      </w:pPr>
      <w:r>
        <w:rPr>
          <w:b/>
          <w:bCs/>
          <w:sz w:val="24"/>
          <w:szCs w:val="24"/>
        </w:rPr>
        <w:t xml:space="preserve">4.1. Нормативы штатной численности по масштабу проекта</w:t>
      </w:r>
    </w:p>
    <w:p>
      <w:pPr>
        <w:spacing w:after="120" w:line="276"/>
      </w:pPr>
      <w:r>
        <w:t xml:space="preserve">Раздел 3.5 задаёт три типовых комплекта должностных инструкций в зависимости от количества АПК по договору: до 50 комплексов — пять должностей; 50–200 — четырнадцать; свыше 200 — пятнадцать, с добавлением инженера службы эксплуатации и логиста-тестировщика. Это готовый норматив масштабирования филиальной структуры, прямо применимый к текущей реорганизации и к вопросу о численности. В материалах слоя А такой привязки численности к масштабу нет.</w:t>
      </w:r>
    </w:p>
    <w:p>
      <w:pPr>
        <w:pStyle w:val="Heading2"/>
        <w:spacing w:after="120" w:before="240"/>
      </w:pPr>
      <w:r>
        <w:rPr>
          <w:b/>
          <w:bCs/>
          <w:sz w:val="24"/>
          <w:szCs w:val="24"/>
        </w:rPr>
        <w:t xml:space="preserve">4.2. Реестр извлечённых уроков с фактурой по пяти городам</w:t>
      </w:r>
    </w:p>
    <w:p>
      <w:pPr>
        <w:spacing w:after="120" w:line="276"/>
      </w:pPr>
      <w:r>
        <w:t xml:space="preserve">Раздел 1.1.6 содержит заполненную таблицу уроков: Усть-Каменогорск — не предусмотрены количественные показатели достижения целей, отсутствуют порядок и сроки возмещения убытков при досрочном прекращении договора ГЧП, реальная собираемость штрафов не соответствует показателю ФЭМ; Нур-Султан — отсутствуют количественные и качественные показатели цели; Атырау — отклонения по срокам предоставления точек размещения; Шымкент — ошибка в стоимости проекта в опубликованном извещении об инициировании; Семей — риск альтернативных предложений конкурентов и риск перевода проекта в режим госзакупок.</w:t>
      </w:r>
    </w:p>
    <w:p>
      <w:pPr>
        <w:spacing w:after="120" w:line="276"/>
      </w:pPr>
      <w:r>
        <w:rPr>
          <w:b/>
          <w:bCs/>
        </w:rPr>
        <w:t xml:space="preserve">Наблюдение. </w:t>
      </w:r>
      <w:r>
        <w:t xml:space="preserve">Расхождение фактической собираемости штрафов с показателем ФЭМ зафиксировано как урок ещё в 2020–2021 годах, причём с указанием, что это влияет на решения акиматов по новым проектам. В 2026 году то же расхождение снова описывается как новая проблема. Механизм извлечения уроков работает на фиксацию, но не на предотвращение — цикл обратной связи замкнут только наполовину.</w:t>
      </w:r>
    </w:p>
    <w:p>
      <w:pPr>
        <w:pStyle w:val="Heading2"/>
        <w:spacing w:after="120" w:before="240"/>
      </w:pPr>
      <w:r>
        <w:rPr>
          <w:b/>
          <w:bCs/>
          <w:sz w:val="24"/>
          <w:szCs w:val="24"/>
        </w:rPr>
        <w:t xml:space="preserve">4.3. Прочие процедуры, отсутствующие в обоих других слоях</w:t>
      </w:r>
    </w:p>
    <w:p>
      <w:pPr>
        <w:pStyle w:val="ListParagraph"/>
        <w:numPr>
          <w:ilvl w:val="0"/>
          <w:numId w:val="2"/>
        </w:numPr>
        <w:spacing w:after="80" w:line="276"/>
      </w:pPr>
      <w:r>
        <w:t xml:space="preserve">Порядок эскалации с уровнями критичности и таймингом реагирования, вплоть до заместителя Председателя Правления (стр. 397–401).</w:t>
      </w:r>
    </w:p>
    <w:p>
      <w:pPr>
        <w:pStyle w:val="ListParagraph"/>
        <w:numPr>
          <w:ilvl w:val="0"/>
          <w:numId w:val="2"/>
        </w:numPr>
        <w:spacing w:after="80" w:line="276"/>
      </w:pPr>
      <w:r>
        <w:t xml:space="preserve">Определение источников финансирования — процесс кредитования с побанковскими шагами, срок 2 месяца с даты заключения договора ГЧП (стр. 366).</w:t>
      </w:r>
    </w:p>
    <w:p>
      <w:pPr>
        <w:pStyle w:val="ListParagraph"/>
        <w:numPr>
          <w:ilvl w:val="0"/>
          <w:numId w:val="2"/>
        </w:numPr>
        <w:spacing w:after="80" w:line="276"/>
      </w:pPr>
      <w:r>
        <w:t xml:space="preserve">Передача объекта в государственную собственность (стр. 472) и рассмотрение пролонгации договора (стр. 474) — то есть завершение жизненного цикла, полностью отсутствующее в дереве процессов слоя А.</w:t>
      </w:r>
    </w:p>
    <w:p>
      <w:pPr>
        <w:pStyle w:val="ListParagraph"/>
        <w:numPr>
          <w:ilvl w:val="0"/>
          <w:numId w:val="2"/>
        </w:numPr>
        <w:spacing w:after="80" w:line="276"/>
      </w:pPr>
      <w:r>
        <w:t xml:space="preserve">Стадия закрытия проекта целиком: отчёт о реализации, реестр архивной документации, демонтаж оборудования, формирование архива данных с АПК (стр. 930–942).</w:t>
      </w:r>
    </w:p>
    <w:p>
      <w:pPr>
        <w:pStyle w:val="ListParagraph"/>
        <w:numPr>
          <w:ilvl w:val="0"/>
          <w:numId w:val="2"/>
        </w:numPr>
        <w:spacing w:after="80" w:line="276"/>
      </w:pPr>
      <w:r>
        <w:t xml:space="preserve">Матрица контроля качества (стр. 208) и контроль OKR (стр. 929): руководитель подразделения устанавливает норматив работ, от которого зависит 25 % оплаты; директор филиала ежемесячно отчитывается по матрице OKR проектному менеджеру ЦА.</w:t>
      </w:r>
    </w:p>
    <w:p>
      <w:pPr>
        <w:pStyle w:val="ListParagraph"/>
        <w:numPr>
          <w:ilvl w:val="0"/>
          <w:numId w:val="2"/>
        </w:numPr>
        <w:spacing w:after="80" w:line="276"/>
      </w:pPr>
      <w:r>
        <w:t xml:space="preserve">Алгоритм работ по штрафным санкциям (стр. 471) и возмещение ущерба при повреждении оборудования третьими лицами (стр. 467).</w:t>
      </w:r>
    </w:p>
    <w:p>
      <w:pPr>
        <w:pStyle w:val="ListParagraph"/>
        <w:numPr>
          <w:ilvl w:val="0"/>
          <w:numId w:val="2"/>
        </w:numPr>
        <w:spacing w:after="80" w:line="276"/>
      </w:pPr>
      <w:r>
        <w:t xml:space="preserve">Организация работ в нештатных ситуациях (стр. 466) и обеспечение видеонаблюдения на массовых мероприятиях (стр. 463).</w:t>
      </w:r>
    </w:p>
    <w:p>
      <w:pPr>
        <w:pStyle w:val="Heading1"/>
        <w:spacing w:after="160" w:before="320"/>
      </w:pPr>
      <w:r>
        <w:rPr>
          <w:b/>
          <w:bCs/>
          <w:sz w:val="28"/>
          <w:szCs w:val="28"/>
        </w:rPr>
        <w:t xml:space="preserve">5. Иерархия внутренних нормативных документов</w:t>
      </w:r>
    </w:p>
    <w:p>
      <w:pPr>
        <w:spacing w:after="120" w:line="276"/>
      </w:pPr>
      <w:r>
        <w:t xml:space="preserve">Прочтение методологии позволяет выстроить иерархию найденных документов по уровню утверждения — это важно для разрешения коллизий.</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900"/>
        <w:gridCol w:w="2600"/>
        <w:gridCol w:w="3500"/>
      </w:tblGrid>
      <w:tr>
        <w:trPr>
          <w:tblHeader/>
        </w:trPr>
        <w:tc>
          <w:tcPr>
            <w:tcW w:type="dxa" w:w="2900"/>
            <w:shd w:fill="E8E8E4" w:color="auto" w:val="clear"/>
            <w:tcMar>
              <w:top w:type="dxa" w:w="60"/>
              <w:left w:type="dxa" w:w="90"/>
              <w:bottom w:type="dxa" w:w="60"/>
              <w:right w:type="dxa" w:w="90"/>
            </w:tcMar>
          </w:tcPr>
          <w:p>
            <w:pPr>
              <w:spacing w:after="40" w:line="252"/>
            </w:pPr>
            <w:r>
              <w:rPr>
                <w:b/>
                <w:bCs/>
                <w:sz w:val="19"/>
                <w:szCs w:val="19"/>
              </w:rPr>
              <w:t xml:space="preserve">Документ</w:t>
            </w:r>
          </w:p>
        </w:tc>
        <w:tc>
          <w:tcPr>
            <w:tcW w:type="dxa" w:w="2600"/>
            <w:shd w:fill="E8E8E4" w:color="auto" w:val="clear"/>
            <w:tcMar>
              <w:top w:type="dxa" w:w="60"/>
              <w:left w:type="dxa" w:w="90"/>
              <w:bottom w:type="dxa" w:w="60"/>
              <w:right w:type="dxa" w:w="90"/>
            </w:tcMar>
          </w:tcPr>
          <w:p>
            <w:pPr>
              <w:spacing w:after="40" w:line="252"/>
            </w:pPr>
            <w:r>
              <w:rPr>
                <w:b/>
                <w:bCs/>
                <w:sz w:val="19"/>
                <w:szCs w:val="19"/>
              </w:rPr>
              <w:t xml:space="preserve">Уровень утверждения</w:t>
            </w:r>
          </w:p>
        </w:tc>
        <w:tc>
          <w:tcPr>
            <w:tcW w:type="dxa" w:w="3500"/>
            <w:shd w:fill="E8E8E4" w:color="auto" w:val="clear"/>
            <w:tcMar>
              <w:top w:type="dxa" w:w="60"/>
              <w:left w:type="dxa" w:w="90"/>
              <w:bottom w:type="dxa" w:w="60"/>
              <w:right w:type="dxa" w:w="90"/>
            </w:tcMar>
          </w:tcPr>
          <w:p>
            <w:pPr>
              <w:spacing w:after="40" w:line="252"/>
            </w:pPr>
            <w:r>
              <w:rPr>
                <w:b/>
                <w:bCs/>
                <w:sz w:val="19"/>
                <w:szCs w:val="19"/>
              </w:rPr>
              <w:t xml:space="preserve">Следствие</w:t>
            </w:r>
          </w:p>
        </w:tc>
      </w:tr>
      <w:tr>
        <w:trPr>
          <w:cantSplit/>
        </w:trPr>
        <w:tc>
          <w:tcPr>
            <w:tcW w:type="dxa" w:w="2900"/>
            <w:tcMar>
              <w:top w:type="dxa" w:w="60"/>
              <w:left w:type="dxa" w:w="90"/>
              <w:bottom w:type="dxa" w:w="60"/>
              <w:right w:type="dxa" w:w="90"/>
            </w:tcMar>
          </w:tcPr>
          <w:p>
            <w:pPr>
              <w:spacing w:after="40" w:line="252"/>
            </w:pPr>
            <w:r>
              <w:rPr>
                <w:sz w:val="19"/>
                <w:szCs w:val="19"/>
              </w:rPr>
              <w:t xml:space="preserve">Методология «Свод знаний по внедрению Сергек»</w:t>
            </w:r>
          </w:p>
        </w:tc>
        <w:tc>
          <w:tcPr>
            <w:tcW w:type="dxa" w:w="2600"/>
            <w:tcMar>
              <w:top w:type="dxa" w:w="60"/>
              <w:left w:type="dxa" w:w="90"/>
              <w:bottom w:type="dxa" w:w="60"/>
              <w:right w:type="dxa" w:w="90"/>
            </w:tcMar>
          </w:tcPr>
          <w:p>
            <w:pPr>
              <w:spacing w:after="40" w:line="252"/>
            </w:pPr>
            <w:r>
              <w:rPr>
                <w:sz w:val="19"/>
                <w:szCs w:val="19"/>
              </w:rPr>
              <w:t xml:space="preserve">Приказ Председателя Правления от 15.01.2021 (номер не проставлен)</w:t>
            </w:r>
          </w:p>
        </w:tc>
        <w:tc>
          <w:tcPr>
            <w:tcW w:type="dxa" w:w="3500"/>
            <w:tcMar>
              <w:top w:type="dxa" w:w="60"/>
              <w:left w:type="dxa" w:w="90"/>
              <w:bottom w:type="dxa" w:w="60"/>
              <w:right w:type="dxa" w:w="90"/>
            </w:tcMar>
          </w:tcPr>
          <w:p>
            <w:pPr>
              <w:spacing w:after="40" w:line="252"/>
            </w:pPr>
            <w:r>
              <w:rPr>
                <w:sz w:val="19"/>
                <w:szCs w:val="19"/>
              </w:rPr>
              <w:t xml:space="preserve">Высший из обнаруженных уровней. При коллизии имеет приоритет</w:t>
            </w:r>
          </w:p>
        </w:tc>
      </w:tr>
      <w:tr>
        <w:trPr>
          <w:cantSplit/>
        </w:trPr>
        <w:tc>
          <w:tcPr>
            <w:tcW w:type="dxa" w:w="2900"/>
            <w:shd w:fill="F7F7F5" w:color="auto" w:val="clear"/>
            <w:tcMar>
              <w:top w:type="dxa" w:w="60"/>
              <w:left w:type="dxa" w:w="90"/>
              <w:bottom w:type="dxa" w:w="60"/>
              <w:right w:type="dxa" w:w="90"/>
            </w:tcMar>
          </w:tcPr>
          <w:p>
            <w:pPr>
              <w:spacing w:after="40" w:line="252"/>
            </w:pPr>
            <w:r>
              <w:rPr>
                <w:sz w:val="19"/>
                <w:szCs w:val="19"/>
              </w:rPr>
              <w:t xml:space="preserve">Чек-листы ролей филиала</w:t>
            </w:r>
          </w:p>
        </w:tc>
        <w:tc>
          <w:tcPr>
            <w:tcW w:type="dxa" w:w="2600"/>
            <w:shd w:fill="F7F7F5" w:color="auto" w:val="clear"/>
            <w:tcMar>
              <w:top w:type="dxa" w:w="60"/>
              <w:left w:type="dxa" w:w="90"/>
              <w:bottom w:type="dxa" w:w="60"/>
              <w:right w:type="dxa" w:w="90"/>
            </w:tcMar>
          </w:tcPr>
          <w:p>
            <w:pPr>
              <w:spacing w:after="40" w:line="252"/>
            </w:pPr>
            <w:r>
              <w:rPr>
                <w:sz w:val="19"/>
                <w:szCs w:val="19"/>
              </w:rPr>
              <w:t xml:space="preserve">Приказ генерального директора, СЗ/418 и СЗ/420, май 2023, ЭЦП в СЭД</w:t>
            </w:r>
          </w:p>
        </w:tc>
        <w:tc>
          <w:tcPr>
            <w:tcW w:type="dxa" w:w="3500"/>
            <w:shd w:fill="F7F7F5" w:color="auto" w:val="clear"/>
            <w:tcMar>
              <w:top w:type="dxa" w:w="60"/>
              <w:left w:type="dxa" w:w="90"/>
              <w:bottom w:type="dxa" w:w="60"/>
              <w:right w:type="dxa" w:w="90"/>
            </w:tcMar>
          </w:tcPr>
          <w:p>
            <w:pPr>
              <w:spacing w:after="40" w:line="252"/>
            </w:pPr>
            <w:r>
              <w:rPr>
                <w:sz w:val="19"/>
                <w:szCs w:val="19"/>
              </w:rPr>
              <w:t xml:space="preserve">Подчинённый уровень. Конкретизируют контроль, не заменяют методологию</w:t>
            </w:r>
          </w:p>
        </w:tc>
      </w:tr>
      <w:tr>
        <w:trPr>
          <w:cantSplit/>
        </w:trPr>
        <w:tc>
          <w:tcPr>
            <w:tcW w:type="dxa" w:w="2900"/>
            <w:tcMar>
              <w:top w:type="dxa" w:w="60"/>
              <w:left w:type="dxa" w:w="90"/>
              <w:bottom w:type="dxa" w:w="60"/>
              <w:right w:type="dxa" w:w="90"/>
            </w:tcMar>
          </w:tcPr>
          <w:p>
            <w:pPr>
              <w:spacing w:after="40" w:line="252"/>
            </w:pPr>
            <w:r>
              <w:rPr>
                <w:sz w:val="19"/>
                <w:szCs w:val="19"/>
              </w:rPr>
              <w:t xml:space="preserve">Алгоритм взаимодействия при инициации проекта ГЧП v2</w:t>
            </w:r>
          </w:p>
        </w:tc>
        <w:tc>
          <w:tcPr>
            <w:tcW w:type="dxa" w:w="2600"/>
            <w:tcMar>
              <w:top w:type="dxa" w:w="60"/>
              <w:left w:type="dxa" w:w="90"/>
              <w:bottom w:type="dxa" w:w="60"/>
              <w:right w:type="dxa" w:w="90"/>
            </w:tcMar>
          </w:tcPr>
          <w:p>
            <w:pPr>
              <w:spacing w:after="40" w:line="252"/>
            </w:pPr>
            <w:r>
              <w:rPr>
                <w:sz w:val="19"/>
                <w:szCs w:val="19"/>
              </w:rPr>
              <w:t xml:space="preserve">Гриф утверждения отсутствует</w:t>
            </w:r>
          </w:p>
        </w:tc>
        <w:tc>
          <w:tcPr>
            <w:tcW w:type="dxa" w:w="3500"/>
            <w:tcMar>
              <w:top w:type="dxa" w:w="60"/>
              <w:left w:type="dxa" w:w="90"/>
              <w:bottom w:type="dxa" w:w="60"/>
              <w:right w:type="dxa" w:w="90"/>
            </w:tcMar>
          </w:tcPr>
          <w:p>
            <w:pPr>
              <w:spacing w:after="40" w:line="252"/>
            </w:pPr>
            <w:r>
              <w:rPr>
                <w:sz w:val="19"/>
                <w:szCs w:val="19"/>
              </w:rPr>
              <w:t xml:space="preserve">Рабочий документ. Дублирует п. 1.1 методологии с расхождением в терминологии</w:t>
            </w:r>
          </w:p>
        </w:tc>
      </w:tr>
      <w:tr>
        <w:trPr>
          <w:cantSplit/>
        </w:trPr>
        <w:tc>
          <w:tcPr>
            <w:tcW w:type="dxa" w:w="2900"/>
            <w:shd w:fill="F7F7F5" w:color="auto" w:val="clear"/>
            <w:tcMar>
              <w:top w:type="dxa" w:w="60"/>
              <w:left w:type="dxa" w:w="90"/>
              <w:bottom w:type="dxa" w:w="60"/>
              <w:right w:type="dxa" w:w="90"/>
            </w:tcMar>
          </w:tcPr>
          <w:p>
            <w:pPr>
              <w:spacing w:after="40" w:line="252"/>
            </w:pPr>
            <w:r>
              <w:rPr>
                <w:sz w:val="19"/>
                <w:szCs w:val="19"/>
              </w:rPr>
              <w:t xml:space="preserve">Проекты ДИ по новой штатке (слой А)</w:t>
            </w:r>
          </w:p>
        </w:tc>
        <w:tc>
          <w:tcPr>
            <w:tcW w:type="dxa" w:w="2600"/>
            <w:shd w:fill="F7F7F5" w:color="auto" w:val="clear"/>
            <w:tcMar>
              <w:top w:type="dxa" w:w="60"/>
              <w:left w:type="dxa" w:w="90"/>
              <w:bottom w:type="dxa" w:w="60"/>
              <w:right w:type="dxa" w:w="90"/>
            </w:tcMar>
          </w:tcPr>
          <w:p>
            <w:pPr>
              <w:spacing w:after="40" w:line="252"/>
            </w:pPr>
            <w:r>
              <w:rPr>
                <w:sz w:val="19"/>
                <w:szCs w:val="19"/>
              </w:rPr>
              <w:t xml:space="preserve">Не утверждены</w:t>
            </w:r>
          </w:p>
        </w:tc>
        <w:tc>
          <w:tcPr>
            <w:tcW w:type="dxa" w:w="3500"/>
            <w:shd w:fill="F7F7F5" w:color="auto" w:val="clear"/>
            <w:tcMar>
              <w:top w:type="dxa" w:w="60"/>
              <w:left w:type="dxa" w:w="90"/>
              <w:bottom w:type="dxa" w:w="60"/>
              <w:right w:type="dxa" w:w="90"/>
            </w:tcMar>
          </w:tcPr>
          <w:p>
            <w:pPr>
              <w:spacing w:after="40" w:line="252"/>
            </w:pPr>
            <w:r>
              <w:rPr>
                <w:sz w:val="19"/>
                <w:szCs w:val="19"/>
              </w:rPr>
              <w:t xml:space="preserve">При утверждении вступят в противоречие с п. 3.5 методологии, если не будут с ней сверены</w:t>
            </w:r>
          </w:p>
        </w:tc>
      </w:tr>
    </w:tbl>
    <w:p>
      <w:pPr>
        <w:spacing w:after="120" w:line="276"/>
      </w:pPr>
      <w:r>
        <w:rPr>
          <w:b/>
          <w:bCs/>
        </w:rPr>
        <w:t xml:space="preserve">Практический вывод. </w:t>
      </w:r>
      <w:r>
        <w:t xml:space="preserve">Изменение процессов ДУП затрагивает документ, утверждённый на уровне Председателя Правления. Любая реорганизация, меняющая распределение работ между ЦА и филиалом, требует внесения изменений в методологию в порядке, который она сама и устанавливает: изменения первого и второго уровня структуры согласуются с директором Департамента по управлению проектами. Соответственно, право инициировать эти изменения принадлежит ДУП — это сильная позиция, которой сейчас никто не пользуется.</w:t>
      </w:r>
    </w:p>
    <w:p>
      <w:r>
        <w:br w:type="page"/>
      </w:r>
    </w:p>
    <w:p>
      <w:pPr>
        <w:pStyle w:val="Heading1"/>
        <w:spacing w:after="160" w:before="320"/>
      </w:pPr>
      <w:r>
        <w:rPr>
          <w:b/>
          <w:bCs/>
          <w:sz w:val="28"/>
          <w:szCs w:val="28"/>
        </w:rPr>
        <w:t xml:space="preserve">6. Дефекты самой методологии</w:t>
      </w:r>
    </w:p>
    <w:p>
      <w:pPr>
        <w:spacing w:after="120" w:line="276"/>
      </w:pPr>
      <w:r>
        <w:t xml:space="preserve">Признание методологии полноценной нормативной базой не отменяет её собственных проблем. Они существенны и объясняют, почему при формальном наличии регламентов практика от них расходится.</w:t>
      </w:r>
    </w:p>
    <w:p>
      <w:pPr>
        <w:pStyle w:val="ListParagraph"/>
        <w:numPr>
          <w:ilvl w:val="0"/>
          <w:numId w:val="3"/>
        </w:numPr>
        <w:spacing w:after="100" w:line="276"/>
      </w:pPr>
      <w:r>
        <w:t xml:space="preserve">История изменений отсутствует. Раздел ChangeLog при экспорте не выгрузился: вместо содержимого — текст ошибки макроса Confluence «recently-updated» с трассировкой Java-исключения. Установить дату последней актуализации любого раздела невозможно.</w:t>
      </w:r>
    </w:p>
    <w:p>
      <w:pPr>
        <w:pStyle w:val="ListParagraph"/>
        <w:numPr>
          <w:ilvl w:val="0"/>
          <w:numId w:val="3"/>
        </w:numPr>
        <w:spacing w:after="100" w:line="276"/>
      </w:pPr>
      <w:r>
        <w:t xml:space="preserve">Глоссарий пуст. Раздел 1.4 содержит один термин — АПК. Все остальные сокращения, включая ОСУ, КИЗ, КОЗ, ВУ, ГП, ЛУ, ОВН, ГТС, БиОТ, ФЭМ, остаются нераскрытыми. Проблема терминологической непрозрачности, зафиксированная в слое А, методологией не решается.</w:t>
      </w:r>
    </w:p>
    <w:p>
      <w:pPr>
        <w:pStyle w:val="ListParagraph"/>
        <w:numPr>
          <w:ilvl w:val="0"/>
          <w:numId w:val="3"/>
        </w:numPr>
        <w:spacing w:after="100" w:line="276"/>
      </w:pPr>
      <w:r>
        <w:t xml:space="preserve">Персонализация вместо ролей. Процедуры завязаны на конкретных лиц с указанием личных мобильных телефонов и фамилий подрядчиков. Ответственные за оборудование, технические специалисты, состав собрания руководителей, контактные лица эскалации перечислены поимённо. При смене персонала процедура теряет исполнителя. Отдельно отмечается вопрос правомерности размещения персональных данных контрагентов во внутреннем нормативном документе.</w:t>
      </w:r>
    </w:p>
    <w:p>
      <w:pPr>
        <w:pStyle w:val="ListParagraph"/>
        <w:numPr>
          <w:ilvl w:val="0"/>
          <w:numId w:val="3"/>
        </w:numPr>
        <w:spacing w:after="100" w:line="276"/>
      </w:pPr>
      <w:r>
        <w:t xml:space="preserve">Архив занимает 28 процентов объёма. Страницы 960–1313 дублируют действующие разделы в устаревших редакциях, включая копии отдельных разделов («Копия 2.1.2. План проекта», «Копия 1.2.2.5»). Риск применения недействующей версии высок, разграничение между действующей частью и архивом внутри документа визуально не выражено.</w:t>
      </w:r>
    </w:p>
    <w:p>
      <w:pPr>
        <w:pStyle w:val="ListParagraph"/>
        <w:numPr>
          <w:ilvl w:val="0"/>
          <w:numId w:val="3"/>
        </w:numPr>
        <w:spacing w:after="100" w:line="276"/>
      </w:pPr>
      <w:r>
        <w:t xml:space="preserve">Внутренние ссылки не сходятся. Раздел 3.2 ссылается на «2.1.4.2. Обследование АПК Сергек V3» при фактическом номере 2.2.1.2, на «3.1.1. Статус реализации проекта» при фактическом 3.2.1. Номер 3.2.3 присвоен одновременно обучению сотрудников и внесению изменений в проект. Сквозная перенумерация после реструктуризации не проводилась.</w:t>
      </w:r>
    </w:p>
    <w:p>
      <w:pPr>
        <w:pStyle w:val="ListParagraph"/>
        <w:numPr>
          <w:ilvl w:val="0"/>
          <w:numId w:val="3"/>
        </w:numPr>
        <w:spacing w:after="100" w:line="276"/>
      </w:pPr>
      <w:r>
        <w:t xml:space="preserve">Переименование ПМО в ДУП проведено выборочно. В процедуре маркетингового анализа цен ответственным за первый шаг указан ПМО; в шаблоне извлечённых уроков — тоже. Оба обозначения сосуществуют в действующей части.</w:t>
      </w:r>
    </w:p>
    <w:p>
      <w:pPr>
        <w:pStyle w:val="ListParagraph"/>
        <w:numPr>
          <w:ilvl w:val="0"/>
          <w:numId w:val="3"/>
        </w:numPr>
        <w:spacing w:after="100" w:line="276"/>
      </w:pPr>
      <w:r>
        <w:t xml:space="preserve">Критическая зависимость от внешних ресурсов. Методика расчёта состава проекта существует в виде Google-таблицы по внешней ссылке; статус заполнения разделов ведётся в другой Google-таблице; документы бухгалтерии размещаются в OTG Cloud; задачи ставятся в Jira; эскалация идёт через Telegram-чаты. При миграции ИТ-ландшафта эти связи рвутся, и методология превращается в описание процедур, ведущих в никуда.</w:t>
      </w:r>
    </w:p>
    <w:p>
      <w:pPr>
        <w:pStyle w:val="ListParagraph"/>
        <w:numPr>
          <w:ilvl w:val="0"/>
          <w:numId w:val="3"/>
        </w:numPr>
        <w:spacing w:after="100" w:line="276"/>
      </w:pPr>
      <w:r>
        <w:t xml:space="preserve">Контур контроля остановлен. Результаты аудита филиалов представлены только за 2020 год по двум городам. За 2021–2026 годы данных нет. Чек-листы аудита и методика оценки эффективности при этом полностью разработаны.</w:t>
      </w:r>
    </w:p>
    <w:p>
      <w:pPr>
        <w:pStyle w:val="Heading1"/>
        <w:spacing w:after="160" w:before="320"/>
      </w:pPr>
      <w:r>
        <w:rPr>
          <w:b/>
          <w:bCs/>
          <w:sz w:val="28"/>
          <w:szCs w:val="28"/>
        </w:rPr>
        <w:t xml:space="preserve">7. Что требует корректировки в предыдущем документе</w:t>
      </w:r>
    </w:p>
    <w:p>
      <w:pPr>
        <w:spacing w:after="120" w:line="276"/>
      </w:pPr>
      <w:r>
        <w:t xml:space="preserve">Для точности фиксируется, какие положения документа от 25.08.2026 подлежат замене.</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5400"/>
      </w:tblGrid>
      <w:tr>
        <w:trPr>
          <w:tblHeader/>
        </w:trPr>
        <w:tc>
          <w:tcPr>
            <w:tcW w:type="dxa" w:w="3600"/>
            <w:shd w:fill="E8E8E4" w:color="auto" w:val="clear"/>
            <w:tcMar>
              <w:top w:type="dxa" w:w="60"/>
              <w:left w:type="dxa" w:w="90"/>
              <w:bottom w:type="dxa" w:w="60"/>
              <w:right w:type="dxa" w:w="90"/>
            </w:tcMar>
          </w:tcPr>
          <w:p>
            <w:pPr>
              <w:spacing w:after="40" w:line="252"/>
            </w:pPr>
            <w:r>
              <w:rPr>
                <w:b/>
                <w:bCs/>
                <w:sz w:val="19"/>
                <w:szCs w:val="19"/>
              </w:rPr>
              <w:t xml:space="preserve">Положение предыдущего документа</w:t>
            </w:r>
          </w:p>
        </w:tc>
        <w:tc>
          <w:tcPr>
            <w:tcW w:type="dxa" w:w="5400"/>
            <w:shd w:fill="E8E8E4" w:color="auto" w:val="clear"/>
            <w:tcMar>
              <w:top w:type="dxa" w:w="60"/>
              <w:left w:type="dxa" w:w="90"/>
              <w:bottom w:type="dxa" w:w="60"/>
              <w:right w:type="dxa" w:w="90"/>
            </w:tcMar>
          </w:tcPr>
          <w:p>
            <w:pPr>
              <w:spacing w:after="40" w:line="252"/>
            </w:pPr>
            <w:r>
              <w:rPr>
                <w:b/>
                <w:bCs/>
                <w:sz w:val="19"/>
                <w:szCs w:val="19"/>
              </w:rPr>
              <w:t xml:space="preserve">Корректировка</w:t>
            </w:r>
          </w:p>
        </w:tc>
      </w:tr>
      <w:tr>
        <w:trPr>
          <w:cantSplit/>
        </w:trPr>
        <w:tc>
          <w:tcPr>
            <w:tcW w:type="dxa" w:w="3600"/>
            <w:tcMar>
              <w:top w:type="dxa" w:w="60"/>
              <w:left w:type="dxa" w:w="90"/>
              <w:bottom w:type="dxa" w:w="60"/>
              <w:right w:type="dxa" w:w="90"/>
            </w:tcMar>
          </w:tcPr>
          <w:p>
            <w:pPr>
              <w:spacing w:after="40" w:line="252"/>
            </w:pPr>
            <w:r>
              <w:rPr>
                <w:sz w:val="19"/>
                <w:szCs w:val="19"/>
              </w:rPr>
              <w:t xml:space="preserve">«Пять узких мест являются подлинными пробелами: подтверждение готовности продукта, канал внешних претензий, методика поверки, учёт фактического объёма переносов, нормирование закупочных процедур»</w:t>
            </w:r>
          </w:p>
        </w:tc>
        <w:tc>
          <w:tcPr>
            <w:tcW w:type="dxa" w:w="5400"/>
            <w:tcMar>
              <w:top w:type="dxa" w:w="60"/>
              <w:left w:type="dxa" w:w="90"/>
              <w:bottom w:type="dxa" w:w="60"/>
              <w:right w:type="dxa" w:w="90"/>
            </w:tcMar>
          </w:tcPr>
          <w:p>
            <w:pPr>
              <w:spacing w:after="40" w:line="252"/>
            </w:pPr>
            <w:r>
              <w:rPr>
                <w:sz w:val="19"/>
                <w:szCs w:val="19"/>
              </w:rPr>
              <w:t xml:space="preserve">Подлинным пробелом остаётся только подтверждение готовности продукта. Остальные четыре имеют описанную процедуру с указанием исполнителя, срока и формы завершения</w:t>
            </w:r>
          </w:p>
        </w:tc>
      </w:tr>
      <w:tr>
        <w:trPr>
          <w:cantSplit/>
        </w:trPr>
        <w:tc>
          <w:tcPr>
            <w:tcW w:type="dxa" w:w="3600"/>
            <w:shd w:fill="F7F7F5" w:color="auto" w:val="clear"/>
            <w:tcMar>
              <w:top w:type="dxa" w:w="60"/>
              <w:left w:type="dxa" w:w="90"/>
              <w:bottom w:type="dxa" w:w="60"/>
              <w:right w:type="dxa" w:w="90"/>
            </w:tcMar>
          </w:tcPr>
          <w:p>
            <w:pPr>
              <w:spacing w:after="40" w:line="252"/>
            </w:pPr>
            <w:r>
              <w:rPr>
                <w:sz w:val="19"/>
                <w:szCs w:val="19"/>
              </w:rPr>
              <w:t xml:space="preserve">«Регламенты привязаны к упразднённым подразделениям — ПМО вместо ДУП»</w:t>
            </w:r>
          </w:p>
        </w:tc>
        <w:tc>
          <w:tcPr>
            <w:tcW w:type="dxa" w:w="5400"/>
            <w:shd w:fill="F7F7F5" w:color="auto" w:val="clear"/>
            <w:tcMar>
              <w:top w:type="dxa" w:w="60"/>
              <w:left w:type="dxa" w:w="90"/>
              <w:bottom w:type="dxa" w:w="60"/>
              <w:right w:type="dxa" w:w="90"/>
            </w:tcMar>
          </w:tcPr>
          <w:p>
            <w:pPr>
              <w:spacing w:after="40" w:line="252"/>
            </w:pPr>
            <w:r>
              <w:rPr>
                <w:sz w:val="19"/>
                <w:szCs w:val="19"/>
              </w:rPr>
              <w:t xml:space="preserve">Верно для алгоритма инициации ГЧП. Методология использует актуальное наименование, хотя и непоследовательно</w:t>
            </w:r>
          </w:p>
        </w:tc>
      </w:tr>
      <w:tr>
        <w:trPr>
          <w:cantSplit/>
        </w:trPr>
        <w:tc>
          <w:tcPr>
            <w:tcW w:type="dxa" w:w="3600"/>
            <w:tcMar>
              <w:top w:type="dxa" w:w="60"/>
              <w:left w:type="dxa" w:w="90"/>
              <w:bottom w:type="dxa" w:w="60"/>
              <w:right w:type="dxa" w:w="90"/>
            </w:tcMar>
          </w:tcPr>
          <w:p>
            <w:pPr>
              <w:spacing w:after="40" w:line="252"/>
            </w:pPr>
            <w:r>
              <w:rPr>
                <w:sz w:val="19"/>
                <w:szCs w:val="19"/>
              </w:rPr>
              <w:t xml:space="preserve">«Нет метрик процессов, оценки трудозатрат, приоритизации»</w:t>
            </w:r>
          </w:p>
        </w:tc>
        <w:tc>
          <w:tcPr>
            <w:tcW w:type="dxa" w:w="5400"/>
            <w:tcMar>
              <w:top w:type="dxa" w:w="60"/>
              <w:left w:type="dxa" w:w="90"/>
              <w:bottom w:type="dxa" w:w="60"/>
              <w:right w:type="dxa" w:w="90"/>
            </w:tcMar>
          </w:tcPr>
          <w:p>
            <w:pPr>
              <w:spacing w:after="40" w:line="252"/>
            </w:pPr>
            <w:r>
              <w:rPr>
                <w:sz w:val="19"/>
                <w:szCs w:val="19"/>
              </w:rPr>
              <w:t xml:space="preserve">Метрики и целеполагание описаны: матрица контроля качества, OKR с привязкой к 25 % оплаты, ежемесячная отчётность директора филиала перед ЦА, план-факт анализ бюджета</w:t>
            </w:r>
          </w:p>
        </w:tc>
      </w:tr>
      <w:tr>
        <w:trPr>
          <w:cantSplit/>
        </w:trPr>
        <w:tc>
          <w:tcPr>
            <w:tcW w:type="dxa" w:w="3600"/>
            <w:shd w:fill="F7F7F5" w:color="auto" w:val="clear"/>
            <w:tcMar>
              <w:top w:type="dxa" w:w="60"/>
              <w:left w:type="dxa" w:w="90"/>
              <w:bottom w:type="dxa" w:w="60"/>
              <w:right w:type="dxa" w:w="90"/>
            </w:tcMar>
          </w:tcPr>
          <w:p>
            <w:pPr>
              <w:spacing w:after="40" w:line="252"/>
            </w:pPr>
            <w:r>
              <w:rPr>
                <w:sz w:val="19"/>
                <w:szCs w:val="19"/>
              </w:rPr>
              <w:t xml:space="preserve">«Слой B работал на другом стеке» — как констатация</w:t>
            </w:r>
          </w:p>
        </w:tc>
        <w:tc>
          <w:tcPr>
            <w:tcW w:type="dxa" w:w="5400"/>
            <w:shd w:fill="F7F7F5" w:color="auto" w:val="clear"/>
            <w:tcMar>
              <w:top w:type="dxa" w:w="60"/>
              <w:left w:type="dxa" w:w="90"/>
              <w:bottom w:type="dxa" w:w="60"/>
              <w:right w:type="dxa" w:w="90"/>
            </w:tcMar>
          </w:tcPr>
          <w:p>
            <w:pPr>
              <w:spacing w:after="40" w:line="252"/>
            </w:pPr>
            <w:r>
              <w:rPr>
                <w:sz w:val="19"/>
                <w:szCs w:val="19"/>
              </w:rPr>
              <w:t xml:space="preserve">Усиливается: методология процедурно завязана на Confluence, Jira, Google-таблицы, OTG Cloud, Telegram и 1С. Миграция на единую платформу требует ревизии этих связей, иначе разрушается сама методология, а не только удобство</w:t>
            </w:r>
          </w:p>
        </w:tc>
      </w:tr>
      <w:tr>
        <w:trPr>
          <w:cantSplit/>
        </w:trPr>
        <w:tc>
          <w:tcPr>
            <w:tcW w:type="dxa" w:w="3600"/>
            <w:tcMar>
              <w:top w:type="dxa" w:w="60"/>
              <w:left w:type="dxa" w:w="90"/>
              <w:bottom w:type="dxa" w:w="60"/>
              <w:right w:type="dxa" w:w="90"/>
            </w:tcMar>
          </w:tcPr>
          <w:p>
            <w:pPr>
              <w:spacing w:after="40" w:line="252"/>
            </w:pPr>
            <w:r>
              <w:rPr>
                <w:sz w:val="19"/>
                <w:szCs w:val="19"/>
              </w:rPr>
              <w:t xml:space="preserve">«Точка передачи от блока реализации к блоку сопровождения не описана нигде»</w:t>
            </w:r>
          </w:p>
        </w:tc>
        <w:tc>
          <w:tcPr>
            <w:tcW w:type="dxa" w:w="5400"/>
            <w:tcMar>
              <w:top w:type="dxa" w:w="60"/>
              <w:left w:type="dxa" w:w="90"/>
              <w:bottom w:type="dxa" w:w="60"/>
              <w:right w:type="dxa" w:w="90"/>
            </w:tcMar>
          </w:tcPr>
          <w:p>
            <w:pPr>
              <w:spacing w:after="40" w:line="252"/>
            </w:pPr>
            <w:r>
              <w:rPr>
                <w:sz w:val="19"/>
                <w:szCs w:val="19"/>
              </w:rPr>
              <w:t xml:space="preserve">Остаётся верным. Методология описывает параллельное ведение этапа создания и этапа эксплуатации одним проектным менеджером филиала (п. 3.2, подпункт 8), а не передачу между двумя блоками. При разделении на два заместителя точка передачи действительно требует проектирования</w:t>
            </w:r>
          </w:p>
        </w:tc>
      </w:tr>
    </w:tbl>
    <w:p>
      <w:pPr>
        <w:pStyle w:val="Heading1"/>
        <w:spacing w:after="160" w:before="320"/>
      </w:pPr>
      <w:r>
        <w:rPr>
          <w:b/>
          <w:bCs/>
          <w:sz w:val="28"/>
          <w:szCs w:val="28"/>
        </w:rPr>
        <w:t xml:space="preserve">8. Обновлённый план действий</w:t>
      </w:r>
    </w:p>
    <w:p>
      <w:pPr>
        <w:pStyle w:val="Heading2"/>
        <w:spacing w:after="120" w:before="240"/>
      </w:pPr>
      <w:r>
        <w:rPr>
          <w:b/>
          <w:bCs/>
          <w:sz w:val="24"/>
          <w:szCs w:val="24"/>
        </w:rPr>
        <w:t xml:space="preserve">8.1. Немедленно</w:t>
      </w:r>
    </w:p>
    <w:p>
      <w:pPr>
        <w:pStyle w:val="ListParagraph"/>
        <w:numPr>
          <w:ilvl w:val="0"/>
          <w:numId w:val="4"/>
        </w:numPr>
        <w:spacing w:after="100" w:line="276"/>
      </w:pPr>
      <w:r>
        <w:t xml:space="preserve">Провести аудит соответствия методологии по её собственным чек-листам (стр. 889–907) хотя бы на одном филиале. Инструмент готов, разрабатывать нечего. Результат даст фактическую картину исполнения и станет доказательной базой для любых дальнейших решений.</w:t>
      </w:r>
    </w:p>
    <w:p>
      <w:pPr>
        <w:pStyle w:val="ListParagraph"/>
        <w:numPr>
          <w:ilvl w:val="0"/>
          <w:numId w:val="4"/>
        </w:numPr>
        <w:spacing w:after="100" w:line="276"/>
      </w:pPr>
      <w:r>
        <w:t xml:space="preserve">Переформулировать задачу процессного обследования. Вопрос «какие процессы отсутствуют» заменяется на «какие из описанных процедур не исполняются и почему». Это меняет и опросник, и структуру интервью.</w:t>
      </w:r>
    </w:p>
    <w:p>
      <w:pPr>
        <w:pStyle w:val="ListParagraph"/>
        <w:numPr>
          <w:ilvl w:val="0"/>
          <w:numId w:val="4"/>
        </w:numPr>
        <w:spacing w:after="100" w:line="276"/>
      </w:pPr>
      <w:r>
        <w:t xml:space="preserve">Установить актуальный статус методологии: издавался ли приказ о её отмене, изменении или приостановлении; ведётся ли пространство в Confluence; кто владелец. Номер приказа от 15.01.2021 в экспорте не проставлен, что само по себе требует проверки.</w:t>
      </w:r>
    </w:p>
    <w:p>
      <w:pPr>
        <w:pStyle w:val="ListParagraph"/>
        <w:numPr>
          <w:ilvl w:val="0"/>
          <w:numId w:val="4"/>
        </w:numPr>
        <w:spacing w:after="100" w:line="276"/>
      </w:pPr>
      <w:r>
        <w:t xml:space="preserve">Приостановить утверждение проектов ДИ до сверки с п. 3.5 методологии. Утверждение четырёх ДИ центрального аппарата поверх трёх типовых комплектов филиальных ДИ без указания на их соотношение создаст коллизию на уровне приказа Председателя Правления.</w:t>
      </w:r>
    </w:p>
    <w:p>
      <w:pPr>
        <w:pStyle w:val="Heading2"/>
        <w:spacing w:after="120" w:before="240"/>
      </w:pPr>
      <w:r>
        <w:rPr>
          <w:b/>
          <w:bCs/>
          <w:sz w:val="24"/>
          <w:szCs w:val="24"/>
        </w:rPr>
        <w:t xml:space="preserve">8.2. Ближайший горизонт</w:t>
      </w:r>
    </w:p>
    <w:p>
      <w:pPr>
        <w:pStyle w:val="ListParagraph"/>
        <w:numPr>
          <w:ilvl w:val="0"/>
          <w:numId w:val="5"/>
        </w:numPr>
        <w:spacing w:after="100" w:line="276"/>
      </w:pPr>
      <w:r>
        <w:t xml:space="preserve">Восстановить эксплуатацию четырёх контуров, которые уже описаны и, по данным интервью, не работают: извлечённые уроки, реестр рисков, маркетинговый анализ цен, план-факт контроль бюджета. По каждому — назначить владельца, установить периодичность, определить, где хранится результат.</w:t>
      </w:r>
    </w:p>
    <w:p>
      <w:pPr>
        <w:pStyle w:val="ListParagraph"/>
        <w:numPr>
          <w:ilvl w:val="0"/>
          <w:numId w:val="5"/>
        </w:numPr>
        <w:spacing w:after="100" w:line="276"/>
      </w:pPr>
      <w:r>
        <w:t xml:space="preserve">Провести сквозную актуализацию методологии: снять персонализацию в пользу ролей, устранить внутренние ссылки, выделить архив, завершить переименование ПМО, заполнить глоссарий. Объём работы значителен, но это редактирование существующего, а не создание нового.</w:t>
      </w:r>
    </w:p>
    <w:p>
      <w:pPr>
        <w:pStyle w:val="ListParagraph"/>
        <w:numPr>
          <w:ilvl w:val="0"/>
          <w:numId w:val="5"/>
        </w:numPr>
        <w:spacing w:after="100" w:line="276"/>
      </w:pPr>
      <w:r>
        <w:t xml:space="preserve">Разработать единственный подлинно отсутствующий регламент — подтверждение готовности продукта перед выводом на продажу, с этапом пилота и критериями приёмки.</w:t>
      </w:r>
    </w:p>
    <w:p>
      <w:pPr>
        <w:pStyle w:val="ListParagraph"/>
        <w:numPr>
          <w:ilvl w:val="0"/>
          <w:numId w:val="5"/>
        </w:numPr>
        <w:spacing w:after="100" w:line="276"/>
      </w:pPr>
      <w:r>
        <w:t xml:space="preserve">Спроектировать точку передачи между блоком реализации и блоком сопровождения, приняв за основу описанное в методологии параллельное ведение двух этапов.</w:t>
      </w:r>
    </w:p>
    <w:p>
      <w:pPr>
        <w:pStyle w:val="ListParagraph"/>
        <w:numPr>
          <w:ilvl w:val="0"/>
          <w:numId w:val="5"/>
        </w:numPr>
        <w:spacing w:after="100" w:line="276"/>
      </w:pPr>
      <w:r>
        <w:t xml:space="preserve">При переносе процессов на единую платформу составить карту зависимостей методологии от внешних систем и определить для каждой либо перенос, либо сохранение, либо замену.</w:t>
      </w:r>
    </w:p>
    <w:p>
      <w:pPr>
        <w:pBdr>
          <w:bottom w:val="single" w:color="999999" w:sz="6" w:space="1"/>
        </w:pBdr>
        <w:spacing w:after="200" w:before="120"/>
      </w:pPr>
    </w:p>
    <w:p>
      <w:pPr>
        <w:spacing w:after="120" w:line="276"/>
      </w:pPr>
      <w:r>
        <w:rPr>
          <w:i/>
          <w:iCs/>
          <w:sz w:val="18"/>
          <w:szCs w:val="18"/>
        </w:rPr>
        <w:t xml:space="preserve">Документ подготовлен на основании полнотекстового анализа методологии «Свод знаний по внедрению Сергек» (1313 стр.) и материалов папки Google Drive «ДУП». Ссылки на страницы даны по нумерации PDF-версии. Фактическая практика исполнения процедур не проверялась — все выводы касаются нормативного содержания.</w:t>
      </w:r>
    </w:p>
    <w:sectPr>
      <w:pgSz w:w="11906" w:h="16838" w:orient="portrait"/>
      <w:pgMar w:top="1134" w:right="992"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Ревизия выводов по итогам прочтения методологии</dc:title>
  <dc:creator>ДУП</dc:creator>
  <cp:lastModifiedBy>Un-named</cp:lastModifiedBy>
  <cp:revision>1</cp:revision>
  <dcterms:created xsi:type="dcterms:W3CDTF">2026-08-25T09:14:22.290Z</dcterms:created>
  <dcterms:modified xsi:type="dcterms:W3CDTF">2026-08-25T09:14:22.290Z</dcterms:modified>
</cp:coreProperties>
</file>

<file path=docProps/custom.xml><?xml version="1.0" encoding="utf-8"?>
<Properties xmlns="http://schemas.openxmlformats.org/officeDocument/2006/custom-properties" xmlns:vt="http://schemas.openxmlformats.org/officeDocument/2006/docPropsVTypes"/>
</file>