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Чек-листы</w:t>
      </w:r>
      <w:r>
        <w:t xml:space="preserve"> </w:t>
      </w:r>
      <w:r>
        <w:t xml:space="preserve">согласования</w:t>
      </w:r>
      <w:r>
        <w:t xml:space="preserve"> </w:t>
      </w:r>
      <w:r>
        <w:t xml:space="preserve">договоров:</w:t>
      </w:r>
      <w:r>
        <w:t xml:space="preserve"> </w:t>
      </w:r>
      <w:r>
        <w:t xml:space="preserve">краткое</w:t>
      </w:r>
      <w:r>
        <w:t xml:space="preserve"> </w:t>
      </w:r>
      <w:r>
        <w:t xml:space="preserve">ТЗ</w:t>
      </w:r>
    </w:p>
    <w:p>
      <w:pPr>
        <w:pStyle w:val="Subtitle"/>
      </w:pPr>
      <w:r>
        <w:t xml:space="preserve">Что</w:t>
      </w:r>
      <w:r>
        <w:t xml:space="preserve"> </w:t>
      </w:r>
      <w:r>
        <w:t xml:space="preserve">проверяет</w:t>
      </w:r>
      <w:r>
        <w:t xml:space="preserve"> </w:t>
      </w:r>
      <w:r>
        <w:t xml:space="preserve">каждая</w:t>
      </w:r>
      <w:r>
        <w:t xml:space="preserve"> </w:t>
      </w:r>
      <w:r>
        <w:t xml:space="preserve">роль.</w:t>
      </w:r>
      <w:r>
        <w:t xml:space="preserve"> </w:t>
      </w:r>
      <w:r>
        <w:t xml:space="preserve">Версия</w:t>
      </w:r>
      <w:r>
        <w:t xml:space="preserve"> </w:t>
      </w:r>
      <w:r>
        <w:t xml:space="preserve">0.2</w:t>
      </w:r>
      <w:r>
        <w:t xml:space="preserve"> </w:t>
      </w:r>
      <w:r>
        <w:t xml:space="preserve">(проект)</w:t>
      </w:r>
    </w:p>
    <w:p>
      <w:pPr>
        <w:pStyle w:val="Date"/>
      </w:pPr>
      <w:r>
        <w:t xml:space="preserve">ТОО</w:t>
      </w:r>
      <w:r>
        <w:t xml:space="preserve"> </w:t>
      </w:r>
      <w:r>
        <w:t xml:space="preserve">«Көркем</w:t>
      </w:r>
      <w:r>
        <w:t xml:space="preserve"> </w:t>
      </w:r>
      <w:r>
        <w:t xml:space="preserve">Телеком»,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FirstParagraph"/>
      </w:pPr>
      <w:r>
        <w:t xml:space="preserve">Версия 0.2. Краткое изложение для обсуждения с подразделениями.</w:t>
      </w:r>
      <w:r>
        <w:t xml:space="preserve"> </w:t>
      </w:r>
      <w:r>
        <w:t xml:space="preserve">Полные формулировки, условия применимости, автопроверки и требования к системе —</w:t>
      </w:r>
      <w:r>
        <w:t xml:space="preserve"> </w:t>
      </w:r>
      <w:r>
        <w:t xml:space="preserve">в подробном ТЗ и Приложении А к нему.</w:t>
      </w:r>
      <w:r>
        <w:t xml:space="preserve"> </w:t>
      </w:r>
      <w:r>
        <w:t xml:space="preserve">Основание: Правила управления договорами, доверенностями и внешней корреспонденцией</w:t>
      </w:r>
      <w:r>
        <w:t xml:space="preserve"> </w:t>
      </w:r>
      <w:r>
        <w:t xml:space="preserve">ТОО «Көркем Телеком» (</w:t>
      </w:r>
      <w:r>
        <w:rPr>
          <w:rStyle w:val="VerbatimChar"/>
        </w:rPr>
        <w:t xml:space="preserve">KT_RULE_..._v1</w:t>
      </w:r>
      <w:r>
        <w:t xml:space="preserve">), раздел 4 и Приложения 2, 3, 4, 7.</w:t>
      </w:r>
    </w:p>
    <w:p>
      <w:r>
        <w:pict>
          <v:rect style="width:0;height:1.5pt" o:hralign="center" o:hrstd="t" o:hr="t"/>
        </w:pict>
      </w:r>
    </w:p>
    <w:bookmarkStart w:id="20" w:name="суть-в-пяти-пунктах"/>
    <w:p>
      <w:pPr>
        <w:pStyle w:val="Heading2"/>
      </w:pPr>
      <w:r>
        <w:t xml:space="preserve">Суть в пяти пунктах</w:t>
      </w:r>
    </w:p>
    <w:p>
      <w:pPr>
        <w:numPr>
          <w:ilvl w:val="0"/>
          <w:numId w:val="1001"/>
        </w:numPr>
        <w:pStyle w:val="Compact"/>
      </w:pPr>
      <w:r>
        <w:t xml:space="preserve">Каждое подразделение в SimBASE подтверждает только элементы своей компетенции</w:t>
      </w:r>
      <w:r>
        <w:t xml:space="preserve"> </w:t>
      </w:r>
      <w:r>
        <w:t xml:space="preserve">по назначенному чек-листу, а не перечитывает договор целиком. Полный договор</w:t>
      </w:r>
      <w:r>
        <w:t xml:space="preserve"> </w:t>
      </w:r>
      <w:r>
        <w:t xml:space="preserve">смотрит только ДПВ.</w:t>
      </w:r>
    </w:p>
    <w:p>
      <w:pPr>
        <w:numPr>
          <w:ilvl w:val="0"/>
          <w:numId w:val="1001"/>
        </w:numPr>
        <w:pStyle w:val="Compact"/>
      </w:pPr>
      <w:r>
        <w:t xml:space="preserve">По каждому пункту выставляется один из четырёх статусов:</w:t>
      </w:r>
      <w:r>
        <w:t xml:space="preserve"> </w:t>
      </w:r>
      <w:r>
        <w:rPr>
          <w:bCs/>
          <w:b/>
        </w:rPr>
        <w:t xml:space="preserve">Подтверждено</w:t>
      </w:r>
      <w:r>
        <w:t xml:space="preserve">,</w:t>
      </w:r>
      <w:r>
        <w:t xml:space="preserve"> </w:t>
      </w:r>
      <w:r>
        <w:rPr>
          <w:bCs/>
          <w:b/>
        </w:rPr>
        <w:t xml:space="preserve">Не применимо</w:t>
      </w:r>
      <w:r>
        <w:t xml:space="preserve"> </w:t>
      </w:r>
      <w:r>
        <w:t xml:space="preserve">(с обоснованием),</w:t>
      </w:r>
      <w:r>
        <w:t xml:space="preserve"> </w:t>
      </w:r>
      <w:r>
        <w:rPr>
          <w:bCs/>
          <w:b/>
        </w:rPr>
        <w:t xml:space="preserve">Требуется доработка</w:t>
      </w:r>
      <w:r>
        <w:t xml:space="preserve">,</w:t>
      </w:r>
      <w:r>
        <w:t xml:space="preserve"> </w:t>
      </w:r>
      <w:r>
        <w:rPr>
          <w:bCs/>
          <w:b/>
        </w:rPr>
        <w:t xml:space="preserve">Остаточный риск</w:t>
      </w:r>
      <w:r>
        <w:t xml:space="preserve">.</w:t>
      </w:r>
      <w:r>
        <w:t xml:space="preserve"> </w:t>
      </w:r>
      <w:r>
        <w:t xml:space="preserve">Статуса «согласовано с замечаниями» нет.</w:t>
      </w:r>
    </w:p>
    <w:p>
      <w:pPr>
        <w:numPr>
          <w:ilvl w:val="0"/>
          <w:numId w:val="1001"/>
        </w:numPr>
        <w:pStyle w:val="Compact"/>
      </w:pPr>
      <w:r>
        <w:t xml:space="preserve">«Требуется доработка» автоматически блокирует направление на подпись.</w:t>
      </w:r>
      <w:r>
        <w:t xml:space="preserve"> </w:t>
      </w:r>
      <w:r>
        <w:t xml:space="preserve">«Остаточный риск» блокирует до решения Генерального директора.</w:t>
      </w:r>
    </w:p>
    <w:p>
      <w:pPr>
        <w:numPr>
          <w:ilvl w:val="0"/>
          <w:numId w:val="1001"/>
        </w:numPr>
        <w:pStyle w:val="Compact"/>
      </w:pPr>
      <w:r>
        <w:t xml:space="preserve">Нажатие общей кнопки согласования без заполнения пунктов не считается согласованием.</w:t>
      </w:r>
    </w:p>
    <w:p>
      <w:pPr>
        <w:numPr>
          <w:ilvl w:val="0"/>
          <w:numId w:val="1001"/>
        </w:numPr>
        <w:pStyle w:val="Compact"/>
      </w:pPr>
      <w:r>
        <w:t xml:space="preserve">Подтверждения привязаны к версии файла: при изменении цены, сроков, предмета, объёма,</w:t>
      </w:r>
      <w:r>
        <w:t xml:space="preserve"> </w:t>
      </w:r>
      <w:r>
        <w:t xml:space="preserve">оплаты, ответственности или приложений подтверждения затронутых подразделений</w:t>
      </w:r>
      <w:r>
        <w:t xml:space="preserve"> </w:t>
      </w:r>
      <w:r>
        <w:t xml:space="preserve">аннулируются автоматически.</w:t>
      </w:r>
    </w:p>
    <w:bookmarkEnd w:id="20"/>
    <w:bookmarkStart w:id="21" w:name="кто-что-проверяет"/>
    <w:p>
      <w:pPr>
        <w:pStyle w:val="Heading2"/>
      </w:pPr>
      <w:r>
        <w:t xml:space="preserve">Кто что проверяет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15"/>
        <w:gridCol w:w="4968"/>
        <w:gridCol w:w="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комплектность пакета, достоверность данных карточки, деловые 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Руководитель инициатора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потребность, приоритет, готовность подразделения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Организатор закупки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соответствие договора результату закупки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ДПВ (юристы)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договор: право, полномочия, риски, допуск к подписи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бюджет, цена, график платежей, авансы, финансовые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реквизиты, налоги, НДС, ЭСФ, первичные 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Техническое подразделение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ТЗ, спецификация, сроки, приёмка, гарантия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данные, персональные данные, доступы, режим информации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контрагента, санкции, антикоррупция, конфликт интересов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закрытость согласований и собственные полномочия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 остаточному риску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Контролёр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исполнение конкретного обязательства и сроки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Итого 180 пунктов, но по конкретному договору показываются только применимые:</w:t>
      </w:r>
      <w:r>
        <w:t xml:space="preserve"> </w:t>
      </w:r>
      <w:r>
        <w:t xml:space="preserve">для типового договора услуг это примерно 27 пунктов у ДПВ, 16 у Бухгалтерии,</w:t>
      </w:r>
      <w:r>
        <w:t xml:space="preserve"> </w:t>
      </w:r>
      <w:r>
        <w:t xml:space="preserve">12 у Финансов и 6–9 у остальных.</w:t>
      </w:r>
    </w:p>
    <w:p>
      <w:r>
        <w:pict>
          <v:rect style="width:0;height:1.5pt" o:hralign="center" o:hrstd="t" o:hr="t"/>
        </w:pict>
      </w:r>
    </w:p>
    <w:bookmarkEnd w:id="21"/>
    <w:bookmarkStart w:id="22" w:name="инициатор"/>
    <w:p>
      <w:pPr>
        <w:pStyle w:val="Heading2"/>
      </w:pPr>
      <w:r>
        <w:t xml:space="preserve">1. Инициатор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что пакет полный, данные в карточке достоверны, а деловые условия</w:t>
      </w:r>
      <w:r>
        <w:t xml:space="preserve"> </w:t>
      </w:r>
      <w:r>
        <w:t xml:space="preserve">соответствуют потребности.</w:t>
      </w:r>
    </w:p>
    <w:p>
      <w:pPr>
        <w:pStyle w:val="BodyText"/>
      </w:pPr>
      <w:r>
        <w:t xml:space="preserve">До согласования:</w:t>
      </w:r>
    </w:p>
    <w:p>
      <w:pPr>
        <w:numPr>
          <w:ilvl w:val="0"/>
          <w:numId w:val="1002"/>
        </w:numPr>
        <w:pStyle w:val="Compact"/>
      </w:pPr>
      <w:r>
        <w:t xml:space="preserve">Карточка создана до начала согласования; инициатор и создатель карточки указаны отдельно.</w:t>
      </w:r>
    </w:p>
    <w:p>
      <w:pPr>
        <w:numPr>
          <w:ilvl w:val="0"/>
          <w:numId w:val="1002"/>
        </w:numPr>
        <w:pStyle w:val="Compact"/>
      </w:pPr>
      <w:r>
        <w:t xml:space="preserve">Приложен проект договора в Word со всеми приложениями и материалами минимального пакета.</w:t>
      </w:r>
    </w:p>
    <w:p>
      <w:pPr>
        <w:numPr>
          <w:ilvl w:val="0"/>
          <w:numId w:val="1002"/>
        </w:numPr>
        <w:pStyle w:val="Compact"/>
      </w:pPr>
      <w:r>
        <w:t xml:space="preserve">Использована типовая форма Компании либо обосновано отступление от неё.</w:t>
      </w:r>
    </w:p>
    <w:p>
      <w:pPr>
        <w:numPr>
          <w:ilvl w:val="0"/>
          <w:numId w:val="1002"/>
        </w:numPr>
        <w:pStyle w:val="Compact"/>
      </w:pPr>
      <w:r>
        <w:t xml:space="preserve">Цель, ожидаемый результат и деловая потребность описаны.</w:t>
      </w:r>
    </w:p>
    <w:p>
      <w:pPr>
        <w:numPr>
          <w:ilvl w:val="0"/>
          <w:numId w:val="1002"/>
        </w:numPr>
        <w:pStyle w:val="Compact"/>
      </w:pPr>
      <w:r>
        <w:t xml:space="preserve">Приложено основание выбора контрагента или результат закупки.</w:t>
      </w:r>
    </w:p>
    <w:p>
      <w:pPr>
        <w:numPr>
          <w:ilvl w:val="0"/>
          <w:numId w:val="1002"/>
        </w:numPr>
        <w:pStyle w:val="Compact"/>
      </w:pPr>
      <w:r>
        <w:t xml:space="preserve">Данные контрагента корректны: наименование, БИН или ИИН, форма, адрес, контакты.</w:t>
      </w:r>
    </w:p>
    <w:p>
      <w:pPr>
        <w:numPr>
          <w:ilvl w:val="0"/>
          <w:numId w:val="1002"/>
        </w:numPr>
        <w:pStyle w:val="Compact"/>
      </w:pPr>
      <w:r>
        <w:t xml:space="preserve">Предмет, объём, количество и единицы измерения определены и непротиворечивы.</w:t>
      </w:r>
    </w:p>
    <w:p>
      <w:pPr>
        <w:numPr>
          <w:ilvl w:val="0"/>
          <w:numId w:val="1002"/>
        </w:numPr>
        <w:pStyle w:val="Compact"/>
      </w:pPr>
      <w:r>
        <w:t xml:space="preserve">Сроки реалистичны и согласованы с профильным подразделением.</w:t>
      </w:r>
    </w:p>
    <w:p>
      <w:pPr>
        <w:numPr>
          <w:ilvl w:val="0"/>
          <w:numId w:val="1002"/>
        </w:numPr>
        <w:pStyle w:val="Compact"/>
      </w:pPr>
      <w:r>
        <w:t xml:space="preserve">Цена, общая сумма и предел обязательств совпадают в тексте, спецификации и графике платежей.</w:t>
      </w:r>
    </w:p>
    <w:p>
      <w:pPr>
        <w:numPr>
          <w:ilvl w:val="0"/>
          <w:numId w:val="1002"/>
        </w:numPr>
        <w:pStyle w:val="Compact"/>
      </w:pPr>
      <w:r>
        <w:t xml:space="preserve">Указаны источник финансирования, подписант, срок подписания и признак срочности.</w:t>
      </w:r>
    </w:p>
    <w:p>
      <w:pPr>
        <w:numPr>
          <w:ilvl w:val="0"/>
          <w:numId w:val="1002"/>
        </w:numPr>
        <w:pStyle w:val="Compact"/>
      </w:pPr>
      <w:r>
        <w:t xml:space="preserve">Заполнены признаки для маршрута: техническая часть, деньги, IP и ПО, данные,</w:t>
      </w:r>
      <w:r>
        <w:t xml:space="preserve"> </w:t>
      </w:r>
      <w:r>
        <w:t xml:space="preserve">конфиденциальность, госорганы, ГЧП, госзакупки, филиал.</w:t>
      </w:r>
    </w:p>
    <w:p>
      <w:pPr>
        <w:numPr>
          <w:ilvl w:val="0"/>
          <w:numId w:val="1002"/>
        </w:numPr>
        <w:pStyle w:val="Compact"/>
      </w:pPr>
      <w:r>
        <w:t xml:space="preserve">Все приложения приложены и соответствуют основному тексту; языковые версии согласованы,</w:t>
      </w:r>
      <w:r>
        <w:t xml:space="preserve"> </w:t>
      </w:r>
      <w:r>
        <w:t xml:space="preserve">приоритетная определена.</w:t>
      </w:r>
    </w:p>
    <w:p>
      <w:pPr>
        <w:numPr>
          <w:ilvl w:val="0"/>
          <w:numId w:val="1002"/>
        </w:numPr>
        <w:pStyle w:val="Compact"/>
      </w:pPr>
      <w:r>
        <w:t xml:space="preserve">Назначены ответственный за исполнение и контролёры по обязательствам.</w:t>
      </w:r>
    </w:p>
    <w:p>
      <w:pPr>
        <w:pStyle w:val="FirstParagraph"/>
      </w:pPr>
      <w:r>
        <w:t xml:space="preserve">После замечаний и подписания:</w:t>
      </w:r>
    </w:p>
    <w:p>
      <w:pPr>
        <w:numPr>
          <w:ilvl w:val="0"/>
          <w:numId w:val="1003"/>
        </w:numPr>
        <w:pStyle w:val="Compact"/>
      </w:pPr>
      <w:r>
        <w:t xml:space="preserve">Замечания отработаны: правки внесены, ответ дан по каждому замечанию, приложены</w:t>
      </w:r>
      <w:r>
        <w:t xml:space="preserve"> </w:t>
      </w:r>
      <w:r>
        <w:t xml:space="preserve">новая редакция и файл сравнения версий.</w:t>
      </w:r>
    </w:p>
    <w:p>
      <w:pPr>
        <w:numPr>
          <w:ilvl w:val="0"/>
          <w:numId w:val="1003"/>
        </w:numPr>
        <w:pStyle w:val="Compact"/>
      </w:pPr>
      <w:r>
        <w:t xml:space="preserve">Финальная версия совпадает с редакцией для контрагента и подписанта.</w:t>
      </w:r>
    </w:p>
    <w:p>
      <w:pPr>
        <w:numPr>
          <w:ilvl w:val="0"/>
          <w:numId w:val="1003"/>
        </w:numPr>
        <w:pStyle w:val="Compact"/>
      </w:pPr>
      <w:r>
        <w:t xml:space="preserve">Подписанный комплект проверен и загружен в SimBASE в установленный срок.</w:t>
      </w:r>
    </w:p>
    <w:p>
      <w:pPr>
        <w:numPr>
          <w:ilvl w:val="0"/>
          <w:numId w:val="1003"/>
        </w:numPr>
        <w:pStyle w:val="Compact"/>
      </w:pPr>
      <w:r>
        <w:t xml:space="preserve">Бумажный оригинал передан в ДПВ в течение 7 календарных дней либо зафиксировано,</w:t>
      </w:r>
      <w:r>
        <w:t xml:space="preserve"> </w:t>
      </w:r>
      <w:r>
        <w:t xml:space="preserve">что оригинал не формируется.</w:t>
      </w:r>
    </w:p>
    <w:p>
      <w:pPr>
        <w:numPr>
          <w:ilvl w:val="0"/>
          <w:numId w:val="1003"/>
        </w:numPr>
        <w:pStyle w:val="Compact"/>
      </w:pPr>
      <w:r>
        <w:t xml:space="preserve">Существенные обязательства превращены в контрольные задачи; исполнение подтверждено.</w:t>
      </w:r>
    </w:p>
    <w:p>
      <w:pPr>
        <w:numPr>
          <w:ilvl w:val="0"/>
          <w:numId w:val="1003"/>
        </w:numPr>
        <w:pStyle w:val="Compact"/>
      </w:pPr>
      <w:r>
        <w:t xml:space="preserve">До закрытия проверено отсутствие продолжающихся обязательств: гарантия,</w:t>
      </w:r>
      <w:r>
        <w:t xml:space="preserve"> </w:t>
      </w:r>
      <w:r>
        <w:t xml:space="preserve">конфиденциальность, IP, споры.</w:t>
      </w:r>
    </w:p>
    <w:p>
      <w:r>
        <w:pict>
          <v:rect style="width:0;height:1.5pt" o:hralign="center" o:hrstd="t" o:hr="t"/>
        </w:pict>
      </w:r>
    </w:p>
    <w:bookmarkEnd w:id="22"/>
    <w:bookmarkStart w:id="23" w:name="непосредственный-руководитель-инициатора"/>
    <w:p>
      <w:pPr>
        <w:pStyle w:val="Heading2"/>
      </w:pPr>
      <w:r>
        <w:t xml:space="preserve">2. Непосредственный руководитель инициатора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нужен ли договор вообще и потянет ли подразделение его исполнение.</w:t>
      </w:r>
      <w:r>
        <w:t xml:space="preserve"> </w:t>
      </w:r>
      <w:r>
        <w:t xml:space="preserve">Согласует первым.</w:t>
      </w:r>
    </w:p>
    <w:p>
      <w:pPr>
        <w:numPr>
          <w:ilvl w:val="0"/>
          <w:numId w:val="1004"/>
        </w:numPr>
        <w:pStyle w:val="Compact"/>
      </w:pPr>
      <w:r>
        <w:t xml:space="preserve">Деловая необходимость и ожидаемый результат подтверждены.</w:t>
      </w:r>
    </w:p>
    <w:p>
      <w:pPr>
        <w:numPr>
          <w:ilvl w:val="0"/>
          <w:numId w:val="1004"/>
        </w:numPr>
        <w:pStyle w:val="Compact"/>
      </w:pPr>
      <w:r>
        <w:t xml:space="preserve">Приоритет и своевременность запуска процесса подтверждены.</w:t>
      </w:r>
    </w:p>
    <w:p>
      <w:pPr>
        <w:numPr>
          <w:ilvl w:val="0"/>
          <w:numId w:val="1004"/>
        </w:numPr>
        <w:pStyle w:val="Compact"/>
      </w:pPr>
      <w:r>
        <w:t xml:space="preserve">Инициатор назначен правильно и компетентен по предмету.</w:t>
      </w:r>
    </w:p>
    <w:p>
      <w:pPr>
        <w:numPr>
          <w:ilvl w:val="0"/>
          <w:numId w:val="1004"/>
        </w:numPr>
        <w:pStyle w:val="Compact"/>
      </w:pPr>
      <w:r>
        <w:t xml:space="preserve">Подразделение готово исполнять: исполнитель определён, ресурсы есть.</w:t>
      </w:r>
    </w:p>
    <w:p>
      <w:pPr>
        <w:numPr>
          <w:ilvl w:val="0"/>
          <w:numId w:val="1004"/>
        </w:numPr>
        <w:pStyle w:val="Compact"/>
      </w:pPr>
      <w:r>
        <w:t xml:space="preserve">Уровень подписанта соответствует Матрице принятия решений.</w:t>
      </w:r>
    </w:p>
    <w:p>
      <w:pPr>
        <w:numPr>
          <w:ilvl w:val="0"/>
          <w:numId w:val="1004"/>
        </w:numPr>
        <w:pStyle w:val="Compact"/>
      </w:pPr>
      <w:r>
        <w:t xml:space="preserve">Нет дублирования с действующими договорами подразделения.</w:t>
      </w:r>
    </w:p>
    <w:p>
      <w:pPr>
        <w:numPr>
          <w:ilvl w:val="0"/>
          <w:numId w:val="1004"/>
        </w:numPr>
        <w:pStyle w:val="Compact"/>
      </w:pPr>
      <w:r>
        <w:t xml:space="preserve">При наличии остаточного риска позиция подразделения внесена в карточку риска.</w:t>
      </w:r>
    </w:p>
    <w:p>
      <w:r>
        <w:pict>
          <v:rect style="width:0;height:1.5pt" o:hralign="center" o:hrstd="t" o:hr="t"/>
        </w:pict>
      </w:r>
    </w:p>
    <w:bookmarkEnd w:id="23"/>
    <w:bookmarkStart w:id="24" w:name="создатель-карточки-организатор-закупки"/>
    <w:p>
      <w:pPr>
        <w:pStyle w:val="Heading2"/>
      </w:pPr>
      <w:r>
        <w:t xml:space="preserve">3. Создатель карточки / организатор закупки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что карточка заполнена по данным инициатора, а договор не расходится</w:t>
      </w:r>
      <w:r>
        <w:t xml:space="preserve"> </w:t>
      </w:r>
      <w:r>
        <w:t xml:space="preserve">с результатом закупки. Ответственность инициатора на него не переходит.</w:t>
      </w:r>
    </w:p>
    <w:p>
      <w:pPr>
        <w:numPr>
          <w:ilvl w:val="0"/>
          <w:numId w:val="1005"/>
        </w:numPr>
        <w:pStyle w:val="Compact"/>
      </w:pPr>
      <w:r>
        <w:t xml:space="preserve">Карточка заполнена по заявке инициатора; бизнес-условия самостоятельно не менялись.</w:t>
      </w:r>
    </w:p>
    <w:p>
      <w:pPr>
        <w:numPr>
          <w:ilvl w:val="0"/>
          <w:numId w:val="1005"/>
        </w:numPr>
        <w:pStyle w:val="Compact"/>
      </w:pPr>
      <w:r>
        <w:t xml:space="preserve">Все переданные материалы приложены без изъятий.</w:t>
      </w:r>
    </w:p>
    <w:p>
      <w:pPr>
        <w:numPr>
          <w:ilvl w:val="0"/>
          <w:numId w:val="1005"/>
        </w:numPr>
        <w:pStyle w:val="Compact"/>
      </w:pPr>
      <w:r>
        <w:t xml:space="preserve">Приложен результат закупки: протокол, победитель, цена, объём, срок.</w:t>
      </w:r>
    </w:p>
    <w:p>
      <w:pPr>
        <w:numPr>
          <w:ilvl w:val="0"/>
          <w:numId w:val="1005"/>
        </w:numPr>
        <w:pStyle w:val="Compact"/>
      </w:pPr>
      <w:r>
        <w:t xml:space="preserve">Условия договора не хуже объявленных в закупке.</w:t>
      </w:r>
    </w:p>
    <w:p>
      <w:pPr>
        <w:numPr>
          <w:ilvl w:val="0"/>
          <w:numId w:val="1005"/>
        </w:numPr>
        <w:pStyle w:val="Compact"/>
      </w:pPr>
      <w:r>
        <w:t xml:space="preserve">Данные контрагента совпадают с данными участника закупки.</w:t>
      </w:r>
    </w:p>
    <w:p>
      <w:pPr>
        <w:numPr>
          <w:ilvl w:val="0"/>
          <w:numId w:val="1005"/>
        </w:numPr>
        <w:pStyle w:val="Compact"/>
      </w:pPr>
      <w:r>
        <w:t xml:space="preserve">Контрагент не в реестре недобросовестных участников закупок.</w:t>
      </w:r>
    </w:p>
    <w:p>
      <w:pPr>
        <w:numPr>
          <w:ilvl w:val="0"/>
          <w:numId w:val="1005"/>
        </w:numPr>
        <w:pStyle w:val="Compact"/>
      </w:pPr>
      <w:r>
        <w:t xml:space="preserve">Переговоры велись в пределах переданной функции: условия чужой компетенции не принимались.</w:t>
      </w:r>
    </w:p>
    <w:p>
      <w:pPr>
        <w:numPr>
          <w:ilvl w:val="0"/>
          <w:numId w:val="1005"/>
        </w:numPr>
        <w:pStyle w:val="Compact"/>
      </w:pPr>
      <w:r>
        <w:t xml:space="preserve">В карточке разграничены роли инициатора и создателя карточки.</w:t>
      </w:r>
    </w:p>
    <w:p>
      <w:r>
        <w:pict>
          <v:rect style="width:0;height:1.5pt" o:hralign="center" o:hrstd="t" o:hr="t"/>
        </w:pict>
      </w:r>
    </w:p>
    <w:bookmarkEnd w:id="24"/>
    <w:bookmarkStart w:id="25" w:name="дпв-юристы"/>
    <w:p>
      <w:pPr>
        <w:pStyle w:val="Heading2"/>
      </w:pPr>
      <w:r>
        <w:t xml:space="preserve">4. ДПВ (юристы)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договор целиком — правоспособность и полномочия, конструкцию сделки,</w:t>
      </w:r>
      <w:r>
        <w:t xml:space="preserve"> </w:t>
      </w:r>
      <w:r>
        <w:t xml:space="preserve">ответственность, прекращение, споры, специальные оговорки, юридическую технику.</w:t>
      </w:r>
      <w:r>
        <w:t xml:space="preserve"> </w:t>
      </w:r>
      <w:r>
        <w:t xml:space="preserve">Обязательный согласующий всех договоров, владелец процесса и правовой блокировки.</w:t>
      </w:r>
    </w:p>
    <w:p>
      <w:pPr>
        <w:pStyle w:val="BodyText"/>
      </w:pPr>
      <w:r>
        <w:t xml:space="preserve">Стороны и полномочия:</w:t>
      </w:r>
    </w:p>
    <w:p>
      <w:pPr>
        <w:numPr>
          <w:ilvl w:val="0"/>
          <w:numId w:val="1006"/>
        </w:numPr>
        <w:pStyle w:val="Compact"/>
      </w:pPr>
      <w:r>
        <w:t xml:space="preserve">Правоспособность контрагента: действующий статус, нет ликвидации, банкротства, реабилитации.</w:t>
      </w:r>
    </w:p>
    <w:p>
      <w:pPr>
        <w:numPr>
          <w:ilvl w:val="0"/>
          <w:numId w:val="1006"/>
        </w:numPr>
        <w:pStyle w:val="Compact"/>
      </w:pPr>
      <w:r>
        <w:t xml:space="preserve">Наименование, БИН и адрес совпадают с данными государственной регистрации.</w:t>
      </w:r>
    </w:p>
    <w:p>
      <w:pPr>
        <w:numPr>
          <w:ilvl w:val="0"/>
          <w:numId w:val="1006"/>
        </w:numPr>
        <w:pStyle w:val="Compact"/>
      </w:pPr>
      <w:r>
        <w:t xml:space="preserve">Полномочия подписанта контрагента подтверждены: устав, решение, приказ или доверенность;</w:t>
      </w:r>
      <w:r>
        <w:t xml:space="preserve"> </w:t>
      </w:r>
      <w:r>
        <w:t xml:space="preserve">срок и объём достаточны.</w:t>
      </w:r>
    </w:p>
    <w:p>
      <w:pPr>
        <w:numPr>
          <w:ilvl w:val="0"/>
          <w:numId w:val="1006"/>
        </w:numPr>
        <w:pStyle w:val="Compact"/>
      </w:pPr>
      <w:r>
        <w:t xml:space="preserve">Наш подписант надлежащий: уровень по Матрице принятия решений, полномочия действуют.</w:t>
      </w:r>
    </w:p>
    <w:p>
      <w:pPr>
        <w:numPr>
          <w:ilvl w:val="0"/>
          <w:numId w:val="1006"/>
        </w:numPr>
        <w:pStyle w:val="Compact"/>
      </w:pPr>
      <w:r>
        <w:t xml:space="preserve">Необходимость корпоративного одобрения определена, решение получено.</w:t>
      </w:r>
    </w:p>
    <w:p>
      <w:pPr>
        <w:numPr>
          <w:ilvl w:val="0"/>
          <w:numId w:val="1006"/>
        </w:numPr>
        <w:pStyle w:val="Compact"/>
      </w:pPr>
      <w:r>
        <w:t xml:space="preserve">Лицензии, разрешения и допуски контрагента действительны (для лицензируемой деятельности).</w:t>
      </w:r>
    </w:p>
    <w:p>
      <w:pPr>
        <w:pStyle w:val="FirstParagraph"/>
      </w:pPr>
      <w:r>
        <w:t xml:space="preserve">Конструкция и условия:</w:t>
      </w:r>
    </w:p>
    <w:p>
      <w:pPr>
        <w:numPr>
          <w:ilvl w:val="0"/>
          <w:numId w:val="1007"/>
        </w:numPr>
        <w:pStyle w:val="Compact"/>
      </w:pPr>
      <w:r>
        <w:t xml:space="preserve">Вид договора соответствует существу сделки; для рамочного определены порядок заявок</w:t>
      </w:r>
      <w:r>
        <w:t xml:space="preserve"> </w:t>
      </w:r>
      <w:r>
        <w:t xml:space="preserve">и предел обязательств.</w:t>
      </w:r>
    </w:p>
    <w:p>
      <w:pPr>
        <w:numPr>
          <w:ilvl w:val="0"/>
          <w:numId w:val="1007"/>
        </w:numPr>
        <w:pStyle w:val="Compact"/>
      </w:pPr>
      <w:r>
        <w:t xml:space="preserve">Существенные условия определены: предмет, цена или порядок её определения, срок.</w:t>
      </w:r>
    </w:p>
    <w:p>
      <w:pPr>
        <w:numPr>
          <w:ilvl w:val="0"/>
          <w:numId w:val="1007"/>
        </w:numPr>
        <w:pStyle w:val="Compact"/>
      </w:pPr>
      <w:r>
        <w:t xml:space="preserve">Соблюдена требуемая форма сделки: письменная, нотариальная, регистрация прав.</w:t>
      </w:r>
    </w:p>
    <w:p>
      <w:pPr>
        <w:numPr>
          <w:ilvl w:val="0"/>
          <w:numId w:val="1007"/>
        </w:numPr>
        <w:pStyle w:val="Compact"/>
      </w:pPr>
      <w:r>
        <w:t xml:space="preserve">Правовые условия оплаты корректны: момент исполнения обязательства, зачёт аванса,</w:t>
      </w:r>
      <w:r>
        <w:t xml:space="preserve"> </w:t>
      </w:r>
      <w:r>
        <w:t xml:space="preserve">право приостановить исполнение.</w:t>
      </w:r>
    </w:p>
    <w:p>
      <w:pPr>
        <w:pStyle w:val="FirstParagraph"/>
      </w:pPr>
      <w:r>
        <w:t xml:space="preserve">Риски и прекращение:</w:t>
      </w:r>
    </w:p>
    <w:p>
      <w:pPr>
        <w:numPr>
          <w:ilvl w:val="0"/>
          <w:numId w:val="1008"/>
        </w:numPr>
        <w:pStyle w:val="Compact"/>
      </w:pPr>
      <w:r>
        <w:t xml:space="preserve">Ответственность соразмерна; нет неограниченной или односторонней ответственности Компании.</w:t>
      </w:r>
    </w:p>
    <w:p>
      <w:pPr>
        <w:numPr>
          <w:ilvl w:val="0"/>
          <w:numId w:val="1008"/>
        </w:numPr>
        <w:pStyle w:val="Compact"/>
      </w:pPr>
      <w:r>
        <w:t xml:space="preserve">Срок, продление, расторжение, односторонний отказ и последствия прекращения определены.</w:t>
      </w:r>
    </w:p>
    <w:p>
      <w:pPr>
        <w:numPr>
          <w:ilvl w:val="0"/>
          <w:numId w:val="1008"/>
        </w:numPr>
        <w:pStyle w:val="Compact"/>
      </w:pPr>
      <w:r>
        <w:t xml:space="preserve">Обеспечение исполнения оформлено корректно (если предусмотрено).</w:t>
      </w:r>
    </w:p>
    <w:p>
      <w:pPr>
        <w:numPr>
          <w:ilvl w:val="0"/>
          <w:numId w:val="1008"/>
        </w:numPr>
        <w:pStyle w:val="Compact"/>
      </w:pPr>
      <w:r>
        <w:t xml:space="preserve">Форс-мажор, порядок уведомлений, уступка прав и субподряд урегулированы.</w:t>
      </w:r>
    </w:p>
    <w:p>
      <w:pPr>
        <w:numPr>
          <w:ilvl w:val="0"/>
          <w:numId w:val="1008"/>
        </w:numPr>
        <w:pStyle w:val="Compact"/>
      </w:pPr>
      <w:r>
        <w:t xml:space="preserve">Споры, применимое право и юрисдикция приемлемы; для нерезидента оценена</w:t>
      </w:r>
      <w:r>
        <w:t xml:space="preserve"> </w:t>
      </w:r>
      <w:r>
        <w:t xml:space="preserve">исполнимость решения.</w:t>
      </w:r>
    </w:p>
    <w:p>
      <w:pPr>
        <w:pStyle w:val="FirstParagraph"/>
      </w:pPr>
      <w:r>
        <w:t xml:space="preserve">Специальные оговорки:</w:t>
      </w:r>
    </w:p>
    <w:p>
      <w:pPr>
        <w:numPr>
          <w:ilvl w:val="0"/>
          <w:numId w:val="1009"/>
        </w:numPr>
        <w:pStyle w:val="Compact"/>
      </w:pPr>
      <w:r>
        <w:t xml:space="preserve">Конфиденциальность: режим, исключения, срок действия после окончания договора.</w:t>
      </w:r>
    </w:p>
    <w:p>
      <w:pPr>
        <w:numPr>
          <w:ilvl w:val="0"/>
          <w:numId w:val="1009"/>
        </w:numPr>
        <w:pStyle w:val="Compact"/>
      </w:pPr>
      <w:r>
        <w:t xml:space="preserve">Персональные данные: условия соответствуют законодательству РК (совместно с ИБ).</w:t>
      </w:r>
    </w:p>
    <w:p>
      <w:pPr>
        <w:numPr>
          <w:ilvl w:val="0"/>
          <w:numId w:val="1009"/>
        </w:numPr>
        <w:pStyle w:val="Compact"/>
      </w:pPr>
      <w:r>
        <w:t xml:space="preserve">IP и ПО: объём прав, лицензии, исходный код, доработки, гарантии по правам третьих лиц.</w:t>
      </w:r>
    </w:p>
    <w:p>
      <w:pPr>
        <w:numPr>
          <w:ilvl w:val="0"/>
          <w:numId w:val="1009"/>
        </w:numPr>
        <w:pStyle w:val="Compact"/>
      </w:pPr>
      <w:r>
        <w:t xml:space="preserve">Антикоррупционная оговорка, заверения о конфликте интересов и санкционные заверения.</w:t>
      </w:r>
    </w:p>
    <w:p>
      <w:pPr>
        <w:numPr>
          <w:ilvl w:val="0"/>
          <w:numId w:val="1009"/>
        </w:numPr>
        <w:pStyle w:val="Compact"/>
      </w:pPr>
      <w:r>
        <w:t xml:space="preserve">Налоговые оговорки: обязанность выписать ЭСФ, заверения о статусе плательщика НДС,</w:t>
      </w:r>
      <w:r>
        <w:t xml:space="preserve"> </w:t>
      </w:r>
      <w:r>
        <w:t xml:space="preserve">возмещение потерь.</w:t>
      </w:r>
    </w:p>
    <w:p>
      <w:pPr>
        <w:numPr>
          <w:ilvl w:val="0"/>
          <w:numId w:val="1009"/>
        </w:numPr>
        <w:pStyle w:val="Compact"/>
      </w:pPr>
      <w:r>
        <w:t xml:space="preserve">Учтён специальный режим: госзакупки, ГЧП, регулируемая деятельность, участие госоргана.</w:t>
      </w:r>
    </w:p>
    <w:p>
      <w:pPr>
        <w:pStyle w:val="FirstParagraph"/>
      </w:pPr>
      <w:r>
        <w:t xml:space="preserve">Техника и допуск:</w:t>
      </w:r>
    </w:p>
    <w:p>
      <w:pPr>
        <w:numPr>
          <w:ilvl w:val="0"/>
          <w:numId w:val="1010"/>
        </w:numPr>
        <w:pStyle w:val="Compact"/>
      </w:pPr>
      <w:r>
        <w:t xml:space="preserve">Нет противоречий между разделами и приложениями, приоритет документов установлен.</w:t>
      </w:r>
    </w:p>
    <w:p>
      <w:pPr>
        <w:numPr>
          <w:ilvl w:val="0"/>
          <w:numId w:val="1010"/>
        </w:numPr>
        <w:pStyle w:val="Compact"/>
      </w:pPr>
      <w:r>
        <w:t xml:space="preserve">Нет незаполненных полей, следов правок и сведений о других сделках.</w:t>
      </w:r>
    </w:p>
    <w:p>
      <w:pPr>
        <w:numPr>
          <w:ilvl w:val="0"/>
          <w:numId w:val="1010"/>
        </w:numPr>
        <w:pStyle w:val="Compact"/>
      </w:pPr>
      <w:r>
        <w:t xml:space="preserve">Языковые версии соответствуют друг другу, приоритетная определена.</w:t>
      </w:r>
    </w:p>
    <w:p>
      <w:pPr>
        <w:numPr>
          <w:ilvl w:val="0"/>
          <w:numId w:val="1010"/>
        </w:numPr>
        <w:pStyle w:val="Compact"/>
      </w:pPr>
      <w:r>
        <w:t xml:space="preserve">Отступления от типовой формы зафиксированы, правовой риск оценён.</w:t>
      </w:r>
    </w:p>
    <w:p>
      <w:pPr>
        <w:numPr>
          <w:ilvl w:val="0"/>
          <w:numId w:val="1010"/>
        </w:numPr>
        <w:pStyle w:val="Compact"/>
      </w:pPr>
      <w:r>
        <w:t xml:space="preserve">Правка после согласования квалифицирована: редакционная — подтверждается ДПВ,</w:t>
      </w:r>
      <w:r>
        <w:t xml:space="preserve"> </w:t>
      </w:r>
      <w:r>
        <w:t xml:space="preserve">существенная — отправляется на повторное согласование.</w:t>
      </w:r>
    </w:p>
    <w:p>
      <w:pPr>
        <w:numPr>
          <w:ilvl w:val="0"/>
          <w:numId w:val="1010"/>
        </w:numPr>
        <w:pStyle w:val="Compact"/>
      </w:pPr>
      <w:r>
        <w:t xml:space="preserve">Все замечания подразделений закрыты, признаны неприменимыми или оформлены</w:t>
      </w:r>
      <w:r>
        <w:t xml:space="preserve"> </w:t>
      </w:r>
      <w:r>
        <w:t xml:space="preserve">как остаточный риск.</w:t>
      </w:r>
    </w:p>
    <w:p>
      <w:pPr>
        <w:numPr>
          <w:ilvl w:val="0"/>
          <w:numId w:val="1010"/>
        </w:numPr>
        <w:pStyle w:val="Compact"/>
      </w:pPr>
      <w:r>
        <w:t xml:space="preserve">По каждому остаточному риску есть карточка и решение уполномоченного лица.</w:t>
      </w:r>
    </w:p>
    <w:p>
      <w:pPr>
        <w:numPr>
          <w:ilvl w:val="0"/>
          <w:numId w:val="1010"/>
        </w:numPr>
        <w:pStyle w:val="Compact"/>
      </w:pPr>
      <w:r>
        <w:t xml:space="preserve">Допуск к подписи: маршрут завершён, статусы допустимые, версия совпадает,</w:t>
      </w:r>
      <w:r>
        <w:t xml:space="preserve"> </w:t>
      </w:r>
      <w:r>
        <w:t xml:space="preserve">полномочия подтверждены.</w:t>
      </w:r>
    </w:p>
    <w:p>
      <w:pPr>
        <w:pStyle w:val="FirstParagraph"/>
      </w:pPr>
      <w:r>
        <w:t xml:space="preserve">После подписания:</w:t>
      </w:r>
    </w:p>
    <w:p>
      <w:pPr>
        <w:numPr>
          <w:ilvl w:val="0"/>
          <w:numId w:val="1011"/>
        </w:numPr>
        <w:pStyle w:val="Compact"/>
      </w:pPr>
      <w:r>
        <w:t xml:space="preserve">Подписанная версия совпадает с согласованной; при расхождении договор</w:t>
      </w:r>
      <w:r>
        <w:t xml:space="preserve"> </w:t>
      </w:r>
      <w:r>
        <w:t xml:space="preserve">не переводится в действующий.</w:t>
      </w:r>
    </w:p>
    <w:p>
      <w:pPr>
        <w:numPr>
          <w:ilvl w:val="0"/>
          <w:numId w:val="1011"/>
        </w:numPr>
        <w:pStyle w:val="Compact"/>
      </w:pPr>
      <w:r>
        <w:t xml:space="preserve">Регистрация: номер присвоен, дата подписанного договора не изменена.</w:t>
      </w:r>
    </w:p>
    <w:p>
      <w:pPr>
        <w:numPr>
          <w:ilvl w:val="0"/>
          <w:numId w:val="1011"/>
        </w:numPr>
        <w:pStyle w:val="Compact"/>
      </w:pPr>
      <w:r>
        <w:t xml:space="preserve">Учтён статус бумажного оригинала; расхождения по непереданным оригиналам отработаны.</w:t>
      </w:r>
    </w:p>
    <w:p>
      <w:pPr>
        <w:numPr>
          <w:ilvl w:val="0"/>
          <w:numId w:val="1011"/>
        </w:numPr>
        <w:pStyle w:val="Compact"/>
      </w:pPr>
      <w:r>
        <w:t xml:space="preserve">Дополнительные соглашения прошли согласование ДПВ и затронутых подразделений.</w:t>
      </w:r>
    </w:p>
    <w:p>
      <w:r>
        <w:pict>
          <v:rect style="width:0;height:1.5pt" o:hralign="center" o:hrstd="t" o:hr="t"/>
        </w:pict>
      </w:r>
    </w:p>
    <w:bookmarkEnd w:id="25"/>
    <w:bookmarkStart w:id="26" w:name="финансы"/>
    <w:p>
      <w:pPr>
        <w:pStyle w:val="Heading2"/>
      </w:pPr>
      <w:r>
        <w:t xml:space="preserve">5. Финансы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деньги — есть ли бюджет, исполним ли график платежей, чем обеспечен</w:t>
      </w:r>
      <w:r>
        <w:t xml:space="preserve"> </w:t>
      </w:r>
      <w:r>
        <w:t xml:space="preserve">аванс, какие финансовые риски принимает Компания.</w:t>
      </w:r>
    </w:p>
    <w:p>
      <w:pPr>
        <w:numPr>
          <w:ilvl w:val="0"/>
          <w:numId w:val="1012"/>
        </w:numPr>
        <w:pStyle w:val="Compact"/>
      </w:pPr>
      <w:r>
        <w:t xml:space="preserve">Источник финансирования определён; бюджет и свободный лимит подтверждены.</w:t>
      </w:r>
    </w:p>
    <w:p>
      <w:pPr>
        <w:numPr>
          <w:ilvl w:val="0"/>
          <w:numId w:val="1012"/>
        </w:numPr>
        <w:pStyle w:val="Compact"/>
      </w:pPr>
      <w:r>
        <w:t xml:space="preserve">Цена и единичные расценки непротиворечивы; определён предел обязательств</w:t>
      </w:r>
      <w:r>
        <w:t xml:space="preserve"> </w:t>
      </w:r>
      <w:r>
        <w:t xml:space="preserve">(для рамочного договора — максимальная сумма).</w:t>
      </w:r>
    </w:p>
    <w:p>
      <w:pPr>
        <w:numPr>
          <w:ilvl w:val="0"/>
          <w:numId w:val="1012"/>
        </w:numPr>
        <w:pStyle w:val="Compact"/>
      </w:pPr>
      <w:r>
        <w:t xml:space="preserve">Для крупных сумм приложены финансовая модель или обоснование цены.</w:t>
      </w:r>
    </w:p>
    <w:p>
      <w:pPr>
        <w:numPr>
          <w:ilvl w:val="0"/>
          <w:numId w:val="1012"/>
        </w:numPr>
        <w:pStyle w:val="Compact"/>
      </w:pPr>
      <w:r>
        <w:t xml:space="preserve">График платежей исполним, влияние на денежный поток оценено.</w:t>
      </w:r>
    </w:p>
    <w:p>
      <w:pPr>
        <w:numPr>
          <w:ilvl w:val="0"/>
          <w:numId w:val="1012"/>
        </w:numPr>
        <w:pStyle w:val="Compact"/>
      </w:pPr>
      <w:r>
        <w:t xml:space="preserve">Доля аванса в пределах политики; при авансе свыше порога есть обеспечение его возврата.</w:t>
      </w:r>
    </w:p>
    <w:p>
      <w:pPr>
        <w:numPr>
          <w:ilvl w:val="0"/>
          <w:numId w:val="1012"/>
        </w:numPr>
        <w:pStyle w:val="Compact"/>
      </w:pPr>
      <w:r>
        <w:t xml:space="preserve">По валютным договорам определены валюта платежа, курс и дата пересчёта; курсовой</w:t>
      </w:r>
      <w:r>
        <w:t xml:space="preserve"> </w:t>
      </w:r>
      <w:r>
        <w:t xml:space="preserve">риск ограничен.</w:t>
      </w:r>
    </w:p>
    <w:p>
      <w:pPr>
        <w:numPr>
          <w:ilvl w:val="0"/>
          <w:numId w:val="1012"/>
        </w:numPr>
        <w:pStyle w:val="Compact"/>
      </w:pPr>
      <w:r>
        <w:t xml:space="preserve">Индексация цены ограничена потолком и периодичностью.</w:t>
      </w:r>
    </w:p>
    <w:p>
      <w:pPr>
        <w:numPr>
          <w:ilvl w:val="0"/>
          <w:numId w:val="1012"/>
        </w:numPr>
        <w:pStyle w:val="Compact"/>
      </w:pPr>
      <w:r>
        <w:t xml:space="preserve">Нет скрытых обязательств: минимальный объём, платные опции, плата за досрочный выход.</w:t>
      </w:r>
    </w:p>
    <w:p>
      <w:pPr>
        <w:numPr>
          <w:ilvl w:val="0"/>
          <w:numId w:val="1012"/>
        </w:numPr>
        <w:pStyle w:val="Compact"/>
      </w:pPr>
      <w:r>
        <w:t xml:space="preserve">Неустойки в пользу Компании достаточны; наши денежные обязательства ограничены по сумме.</w:t>
      </w:r>
    </w:p>
    <w:p>
      <w:pPr>
        <w:numPr>
          <w:ilvl w:val="0"/>
          <w:numId w:val="1012"/>
        </w:numPr>
        <w:pStyle w:val="Compact"/>
      </w:pPr>
      <w:r>
        <w:t xml:space="preserve">Платёжеспособность контрагента проверена при авансе или крупной сумме.</w:t>
      </w:r>
    </w:p>
    <w:p>
      <w:pPr>
        <w:numPr>
          <w:ilvl w:val="0"/>
          <w:numId w:val="1012"/>
        </w:numPr>
        <w:pStyle w:val="Compact"/>
      </w:pPr>
      <w:r>
        <w:t xml:space="preserve">Лимит на контрагента или группу не превышен.</w:t>
      </w:r>
    </w:p>
    <w:p>
      <w:pPr>
        <w:numPr>
          <w:ilvl w:val="0"/>
          <w:numId w:val="1012"/>
        </w:numPr>
        <w:pStyle w:val="Compact"/>
      </w:pPr>
      <w:r>
        <w:t xml:space="preserve">При автопродлении финансовые последствия учтены, срок отказа поставлен на контроль.</w:t>
      </w:r>
    </w:p>
    <w:p>
      <w:pPr>
        <w:numPr>
          <w:ilvl w:val="0"/>
          <w:numId w:val="1012"/>
        </w:numPr>
        <w:pStyle w:val="Compact"/>
      </w:pPr>
      <w:r>
        <w:t xml:space="preserve">После подписания: платежи произведены либо основания неплатежа зафиксированы.</w:t>
      </w:r>
    </w:p>
    <w:p>
      <w:r>
        <w:pict>
          <v:rect style="width:0;height:1.5pt" o:hralign="center" o:hrstd="t" o:hr="t"/>
        </w:pict>
      </w:r>
    </w:p>
    <w:bookmarkEnd w:id="26"/>
    <w:bookmarkStart w:id="27" w:name="бухгалтерия"/>
    <w:p>
      <w:pPr>
        <w:pStyle w:val="Heading2"/>
      </w:pPr>
      <w:r>
        <w:t xml:space="preserve">6. Бухгалтерия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реквизиты и налоги — кому и по каким реквизитам платим, какой у контрагента</w:t>
      </w:r>
      <w:r>
        <w:t xml:space="preserve"> </w:t>
      </w:r>
      <w:r>
        <w:t xml:space="preserve">налоговый статус, какими документами закрывается сделка.</w:t>
      </w:r>
    </w:p>
    <w:p>
      <w:pPr>
        <w:pStyle w:val="BodyText"/>
      </w:pPr>
      <w:r>
        <w:t xml:space="preserve">Реквизиты:</w:t>
      </w:r>
    </w:p>
    <w:p>
      <w:pPr>
        <w:numPr>
          <w:ilvl w:val="0"/>
          <w:numId w:val="1013"/>
        </w:numPr>
        <w:pStyle w:val="Compact"/>
      </w:pPr>
      <w:r>
        <w:t xml:space="preserve">Реквизиты контрагента сверены с документом контрагента и госреестром:</w:t>
      </w:r>
      <w:r>
        <w:t xml:space="preserve"> </w:t>
      </w:r>
      <w:r>
        <w:t xml:space="preserve">наименование, БИН или ИИН, адрес, банковские реквизиты.</w:t>
      </w:r>
    </w:p>
    <w:p>
      <w:pPr>
        <w:numPr>
          <w:ilvl w:val="0"/>
          <w:numId w:val="1013"/>
        </w:numPr>
        <w:pStyle w:val="Compact"/>
      </w:pPr>
      <w:r>
        <w:t xml:space="preserve">Банковские реквизиты не менялись после согласования; изменение подтверждено</w:t>
      </w:r>
      <w:r>
        <w:t xml:space="preserve"> </w:t>
      </w:r>
      <w:r>
        <w:t xml:space="preserve">по независимому каналу связи (защита от подмены реквизитов).</w:t>
      </w:r>
    </w:p>
    <w:p>
      <w:pPr>
        <w:numPr>
          <w:ilvl w:val="0"/>
          <w:numId w:val="1013"/>
        </w:numPr>
        <w:pStyle w:val="Compact"/>
      </w:pPr>
      <w:r>
        <w:t xml:space="preserve">Реквизиты Компании или филиала указаны верно.</w:t>
      </w:r>
    </w:p>
    <w:p>
      <w:pPr>
        <w:numPr>
          <w:ilvl w:val="0"/>
          <w:numId w:val="1013"/>
        </w:numPr>
        <w:pStyle w:val="Compact"/>
      </w:pPr>
      <w:r>
        <w:t xml:space="preserve">Получатель платежа совпадает со стороной договора; платежей третьим лицам нет.</w:t>
      </w:r>
    </w:p>
    <w:p>
      <w:pPr>
        <w:pStyle w:val="FirstParagraph"/>
      </w:pPr>
      <w:r>
        <w:t xml:space="preserve">Налоги:</w:t>
      </w:r>
    </w:p>
    <w:p>
      <w:pPr>
        <w:numPr>
          <w:ilvl w:val="0"/>
          <w:numId w:val="1014"/>
        </w:numPr>
        <w:pStyle w:val="Compact"/>
      </w:pPr>
      <w:r>
        <w:t xml:space="preserve">Определён статус контрагента по НДС и режим налогообложения, подтверждение приложено.</w:t>
      </w:r>
    </w:p>
    <w:p>
      <w:pPr>
        <w:numPr>
          <w:ilvl w:val="0"/>
          <w:numId w:val="1014"/>
        </w:numPr>
        <w:pStyle w:val="Compact"/>
      </w:pPr>
      <w:r>
        <w:t xml:space="preserve">Условия о НДС соответствуют статусу контрагента; сумма налога выделена.</w:t>
      </w:r>
    </w:p>
    <w:p>
      <w:pPr>
        <w:numPr>
          <w:ilvl w:val="0"/>
          <w:numId w:val="1014"/>
        </w:numPr>
        <w:pStyle w:val="Compact"/>
      </w:pPr>
      <w:r>
        <w:t xml:space="preserve">Арифметика сходится: позиции, итог и НДС в договоре, спецификации и графике платежей.</w:t>
      </w:r>
    </w:p>
    <w:p>
      <w:pPr>
        <w:numPr>
          <w:ilvl w:val="0"/>
          <w:numId w:val="1014"/>
        </w:numPr>
        <w:pStyle w:val="Compact"/>
      </w:pPr>
      <w:r>
        <w:t xml:space="preserve">Налоговая дисциплина контрагента проверена: нет задолженности, не бездействующий,</w:t>
      </w:r>
      <w:r>
        <w:t xml:space="preserve"> </w:t>
      </w:r>
      <w:r>
        <w:t xml:space="preserve">не в перечнях ненадёжных налогоплательщиков.</w:t>
      </w:r>
    </w:p>
    <w:p>
      <w:pPr>
        <w:numPr>
          <w:ilvl w:val="0"/>
          <w:numId w:val="1014"/>
        </w:numPr>
        <w:pStyle w:val="Compact"/>
      </w:pPr>
      <w:r>
        <w:t xml:space="preserve">Оценён риск непризнания расходов и снятия НДС из зачёта.</w:t>
      </w:r>
    </w:p>
    <w:p>
      <w:pPr>
        <w:numPr>
          <w:ilvl w:val="0"/>
          <w:numId w:val="1014"/>
        </w:numPr>
        <w:pStyle w:val="Compact"/>
      </w:pPr>
      <w:r>
        <w:t xml:space="preserve">Договор с физическим лицом: удержания определены, признаков трудовых отношений нет.</w:t>
      </w:r>
    </w:p>
    <w:p>
      <w:pPr>
        <w:numPr>
          <w:ilvl w:val="0"/>
          <w:numId w:val="1014"/>
        </w:numPr>
        <w:pStyle w:val="Compact"/>
      </w:pPr>
      <w:r>
        <w:t xml:space="preserve">Нерезидент: определены обязанности налогового агента, сертификат резидентства,</w:t>
      </w:r>
      <w:r>
        <w:t xml:space="preserve"> </w:t>
      </w:r>
      <w:r>
        <w:t xml:space="preserve">применение конвенции об избежании двойного налогообложения.</w:t>
      </w:r>
    </w:p>
    <w:p>
      <w:pPr>
        <w:numPr>
          <w:ilvl w:val="0"/>
          <w:numId w:val="1014"/>
        </w:numPr>
        <w:pStyle w:val="Compact"/>
      </w:pPr>
      <w:r>
        <w:t xml:space="preserve">Валютный договор: регистрация или учётный номер контракта в банке, сроки репатриации.</w:t>
      </w:r>
    </w:p>
    <w:p>
      <w:pPr>
        <w:pStyle w:val="FirstParagraph"/>
      </w:pPr>
      <w:r>
        <w:t xml:space="preserve">Документы и учёт:</w:t>
      </w:r>
    </w:p>
    <w:p>
      <w:pPr>
        <w:numPr>
          <w:ilvl w:val="0"/>
          <w:numId w:val="1015"/>
        </w:numPr>
        <w:pStyle w:val="Compact"/>
      </w:pPr>
      <w:r>
        <w:t xml:space="preserve">Закреплены обязанность и срок выписки ЭСФ.</w:t>
      </w:r>
    </w:p>
    <w:p>
      <w:pPr>
        <w:numPr>
          <w:ilvl w:val="0"/>
          <w:numId w:val="1015"/>
        </w:numPr>
        <w:pStyle w:val="Compact"/>
      </w:pPr>
      <w:r>
        <w:t xml:space="preserve">Определены перечень, формы и сроки закрывающих документов; периодичность</w:t>
      </w:r>
      <w:r>
        <w:t xml:space="preserve"> </w:t>
      </w:r>
      <w:r>
        <w:t xml:space="preserve">соответствует учётным периодам.</w:t>
      </w:r>
    </w:p>
    <w:p>
      <w:pPr>
        <w:numPr>
          <w:ilvl w:val="0"/>
          <w:numId w:val="1015"/>
        </w:numPr>
        <w:pStyle w:val="Compact"/>
      </w:pPr>
      <w:r>
        <w:t xml:space="preserve">Определён порядок учёта аванса и его зачёта (если есть аванс).</w:t>
      </w:r>
    </w:p>
    <w:p>
      <w:pPr>
        <w:numPr>
          <w:ilvl w:val="0"/>
          <w:numId w:val="1015"/>
        </w:numPr>
        <w:pStyle w:val="Compact"/>
      </w:pPr>
      <w:r>
        <w:t xml:space="preserve">Условия оплаты позволяют исполнить платёж: реквизиты, назначение, документ-основание, срок.</w:t>
      </w:r>
    </w:p>
    <w:p>
      <w:pPr>
        <w:numPr>
          <w:ilvl w:val="0"/>
          <w:numId w:val="1015"/>
        </w:numPr>
        <w:pStyle w:val="Compact"/>
      </w:pPr>
      <w:r>
        <w:t xml:space="preserve">Заполнены учётные реквизиты: статья затрат, объект учёта, проект или филиал.</w:t>
      </w:r>
    </w:p>
    <w:p>
      <w:pPr>
        <w:numPr>
          <w:ilvl w:val="0"/>
          <w:numId w:val="1015"/>
        </w:numPr>
        <w:pStyle w:val="Compact"/>
      </w:pPr>
      <w:r>
        <w:t xml:space="preserve">После подписания: ЭСФ и учётные документы получены; расчёты завершены — договор</w:t>
      </w:r>
      <w:r>
        <w:t xml:space="preserve"> </w:t>
      </w:r>
      <w:r>
        <w:t xml:space="preserve">можно закрывать.</w:t>
      </w:r>
    </w:p>
    <w:p>
      <w:r>
        <w:pict>
          <v:rect style="width:0;height:1.5pt" o:hralign="center" o:hrstd="t" o:hr="t"/>
        </w:pict>
      </w:r>
    </w:p>
    <w:bookmarkEnd w:id="27"/>
    <w:bookmarkStart w:id="28" w:name="профильное-техническое-подразделение"/>
    <w:p>
      <w:pPr>
        <w:pStyle w:val="Heading2"/>
      </w:pPr>
      <w:r>
        <w:t xml:space="preserve">7. Профильное / техническое подразделение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можно ли это реально поставить, сделать и принять.</w:t>
      </w:r>
    </w:p>
    <w:p>
      <w:pPr>
        <w:numPr>
          <w:ilvl w:val="0"/>
          <w:numId w:val="1016"/>
        </w:numPr>
        <w:pStyle w:val="Compact"/>
      </w:pPr>
      <w:r>
        <w:t xml:space="preserve">Технические требования и интеграции корректны и исполнимы.</w:t>
      </w:r>
    </w:p>
    <w:p>
      <w:pPr>
        <w:numPr>
          <w:ilvl w:val="0"/>
          <w:numId w:val="1016"/>
        </w:numPr>
        <w:pStyle w:val="Compact"/>
      </w:pPr>
      <w:r>
        <w:t xml:space="preserve">Спецификация соответствует ТЗ: номенклатура, количество, характеристики, аналоги.</w:t>
      </w:r>
    </w:p>
    <w:p>
      <w:pPr>
        <w:numPr>
          <w:ilvl w:val="0"/>
          <w:numId w:val="1016"/>
        </w:numPr>
        <w:pStyle w:val="Compact"/>
      </w:pPr>
      <w:r>
        <w:t xml:space="preserve">Объём и единицы измерения непротиворечивы.</w:t>
      </w:r>
    </w:p>
    <w:p>
      <w:pPr>
        <w:numPr>
          <w:ilvl w:val="0"/>
          <w:numId w:val="1016"/>
        </w:numPr>
        <w:pStyle w:val="Compact"/>
      </w:pPr>
      <w:r>
        <w:t xml:space="preserve">Сроки и этапы реалистичны; зависимости от ресурсов Компании зафиксированы.</w:t>
      </w:r>
    </w:p>
    <w:p>
      <w:pPr>
        <w:numPr>
          <w:ilvl w:val="0"/>
          <w:numId w:val="1016"/>
        </w:numPr>
        <w:pStyle w:val="Compact"/>
      </w:pPr>
      <w:r>
        <w:t xml:space="preserve">Критерии и процедура приёмки позволяют подтвердить результат; есть право не принять его.</w:t>
      </w:r>
    </w:p>
    <w:p>
      <w:pPr>
        <w:numPr>
          <w:ilvl w:val="0"/>
          <w:numId w:val="1016"/>
        </w:numPr>
        <w:pStyle w:val="Compact"/>
      </w:pPr>
      <w:r>
        <w:t xml:space="preserve">Гарантийный срок и порядок устранения дефектов приемлемы.</w:t>
      </w:r>
    </w:p>
    <w:p>
      <w:pPr>
        <w:numPr>
          <w:ilvl w:val="0"/>
          <w:numId w:val="1016"/>
        </w:numPr>
        <w:pStyle w:val="Compact"/>
      </w:pPr>
      <w:r>
        <w:t xml:space="preserve">Для услуг и поддержки определены параметры SLA: доступность, время реакции</w:t>
      </w:r>
      <w:r>
        <w:t xml:space="preserve"> </w:t>
      </w:r>
      <w:r>
        <w:t xml:space="preserve">и восстановления, компенсации.</w:t>
      </w:r>
    </w:p>
    <w:p>
      <w:pPr>
        <w:numPr>
          <w:ilvl w:val="0"/>
          <w:numId w:val="1016"/>
        </w:numPr>
        <w:pStyle w:val="Compact"/>
      </w:pPr>
      <w:r>
        <w:t xml:space="preserve">Для ИТ: подтверждена совместимость с инфраструктурой, описаны миграция и интеграции.</w:t>
      </w:r>
    </w:p>
    <w:p>
      <w:pPr>
        <w:numPr>
          <w:ilvl w:val="0"/>
          <w:numId w:val="1016"/>
        </w:numPr>
        <w:pStyle w:val="Compact"/>
      </w:pPr>
      <w:r>
        <w:t xml:space="preserve">Для разработки: определены передаваемые артефакты — документация, исходный код,</w:t>
      </w:r>
      <w:r>
        <w:t xml:space="preserve"> </w:t>
      </w:r>
      <w:r>
        <w:t xml:space="preserve">конфигурации, доступы.</w:t>
      </w:r>
    </w:p>
    <w:p>
      <w:pPr>
        <w:numPr>
          <w:ilvl w:val="0"/>
          <w:numId w:val="1016"/>
        </w:numPr>
        <w:pStyle w:val="Compact"/>
      </w:pPr>
      <w:r>
        <w:t xml:space="preserve">Для работ на объектах: учтены охрана труда, промбезопасность и порядок допуска.</w:t>
      </w:r>
    </w:p>
    <w:p>
      <w:pPr>
        <w:numPr>
          <w:ilvl w:val="0"/>
          <w:numId w:val="1016"/>
        </w:numPr>
        <w:pStyle w:val="Compact"/>
      </w:pPr>
      <w:r>
        <w:t xml:space="preserve">Технические меры по данным и доступу согласованы с ИБ.</w:t>
      </w:r>
    </w:p>
    <w:p>
      <w:pPr>
        <w:numPr>
          <w:ilvl w:val="0"/>
          <w:numId w:val="1016"/>
        </w:numPr>
        <w:pStyle w:val="Compact"/>
      </w:pPr>
      <w:r>
        <w:t xml:space="preserve">После подписания: факт исполнения подтверждён, приёмка проведена, дефекты</w:t>
      </w:r>
      <w:r>
        <w:t xml:space="preserve"> </w:t>
      </w:r>
      <w:r>
        <w:t xml:space="preserve">зафиксированы, определён гарантийный контролёр.</w:t>
      </w:r>
    </w:p>
    <w:p>
      <w:r>
        <w:pict>
          <v:rect style="width:0;height:1.5pt" o:hralign="center" o:hrstd="t" o:hr="t"/>
        </w:pict>
      </w:r>
    </w:p>
    <w:bookmarkEnd w:id="28"/>
    <w:bookmarkStart w:id="29" w:name="информационная-безопасность"/>
    <w:p>
      <w:pPr>
        <w:pStyle w:val="Heading2"/>
      </w:pPr>
      <w:r>
        <w:t xml:space="preserve">8. Информационная безопасность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какие данные уходят контрагенту и какой доступ он получает.</w:t>
      </w:r>
    </w:p>
    <w:p>
      <w:pPr>
        <w:numPr>
          <w:ilvl w:val="0"/>
          <w:numId w:val="1017"/>
        </w:numPr>
        <w:pStyle w:val="Compact"/>
      </w:pPr>
      <w:r>
        <w:t xml:space="preserve">Определён состав передаваемой информации, включая наличие персональных данных.</w:t>
      </w:r>
    </w:p>
    <w:p>
      <w:pPr>
        <w:numPr>
          <w:ilvl w:val="0"/>
          <w:numId w:val="1017"/>
        </w:numPr>
        <w:pStyle w:val="Compact"/>
      </w:pPr>
      <w:r>
        <w:t xml:space="preserve">Условия обработки персональных данных соответствуют законодательству РК:</w:t>
      </w:r>
      <w:r>
        <w:t xml:space="preserve"> </w:t>
      </w:r>
      <w:r>
        <w:t xml:space="preserve">основание, цель, состав, срок, согласие субъектов.</w:t>
      </w:r>
    </w:p>
    <w:p>
      <w:pPr>
        <w:numPr>
          <w:ilvl w:val="0"/>
          <w:numId w:val="1017"/>
        </w:numPr>
        <w:pStyle w:val="Compact"/>
      </w:pPr>
      <w:r>
        <w:t xml:space="preserve">Определены хранение и локализация данных; урегулирована трансграничная передача.</w:t>
      </w:r>
    </w:p>
    <w:p>
      <w:pPr>
        <w:numPr>
          <w:ilvl w:val="0"/>
          <w:numId w:val="1017"/>
        </w:numPr>
        <w:pStyle w:val="Compact"/>
      </w:pPr>
      <w:r>
        <w:t xml:space="preserve">Предусмотрена обязанность уведомлять об инцидентах и утечках в установленный срок.</w:t>
      </w:r>
    </w:p>
    <w:p>
      <w:pPr>
        <w:numPr>
          <w:ilvl w:val="0"/>
          <w:numId w:val="1017"/>
        </w:numPr>
        <w:pStyle w:val="Compact"/>
      </w:pPr>
      <w:r>
        <w:t xml:space="preserve">Определён режим доступа: перечень систем, порядок выдачи и отзыва, журналирование,</w:t>
      </w:r>
      <w:r>
        <w:t xml:space="preserve"> </w:t>
      </w:r>
      <w:r>
        <w:t xml:space="preserve">требования аутентификации.</w:t>
      </w:r>
    </w:p>
    <w:p>
      <w:pPr>
        <w:numPr>
          <w:ilvl w:val="0"/>
          <w:numId w:val="1017"/>
        </w:numPr>
        <w:pStyle w:val="Compact"/>
      </w:pPr>
      <w:r>
        <w:t xml:space="preserve">Определены технические меры защиты: каналы передачи, шифрование, разграничение прав.</w:t>
      </w:r>
    </w:p>
    <w:p>
      <w:pPr>
        <w:numPr>
          <w:ilvl w:val="0"/>
          <w:numId w:val="1017"/>
        </w:numPr>
        <w:pStyle w:val="Compact"/>
      </w:pPr>
      <w:r>
        <w:t xml:space="preserve">Предусмотрены обязательства персонала контрагента о неразглашении и порядок допуска.</w:t>
      </w:r>
    </w:p>
    <w:p>
      <w:pPr>
        <w:numPr>
          <w:ilvl w:val="0"/>
          <w:numId w:val="1017"/>
        </w:numPr>
        <w:pStyle w:val="Compact"/>
      </w:pPr>
      <w:r>
        <w:t xml:space="preserve">Есть право Компании проверить выполнение требований по защите информации.</w:t>
      </w:r>
    </w:p>
    <w:p>
      <w:pPr>
        <w:numPr>
          <w:ilvl w:val="0"/>
          <w:numId w:val="1017"/>
        </w:numPr>
        <w:pStyle w:val="Compact"/>
      </w:pPr>
      <w:r>
        <w:t xml:space="preserve">Определён порядок возврата и уничтожения данных по окончании договора.</w:t>
      </w:r>
    </w:p>
    <w:p>
      <w:pPr>
        <w:numPr>
          <w:ilvl w:val="0"/>
          <w:numId w:val="1017"/>
        </w:numPr>
        <w:pStyle w:val="Compact"/>
      </w:pPr>
      <w:r>
        <w:t xml:space="preserve">Для облачных сервисов: размещение, резервирование, экспорт данных, порядок выхода.</w:t>
      </w:r>
    </w:p>
    <w:p>
      <w:pPr>
        <w:numPr>
          <w:ilvl w:val="0"/>
          <w:numId w:val="1017"/>
        </w:numPr>
        <w:pStyle w:val="Compact"/>
      </w:pPr>
      <w:r>
        <w:t xml:space="preserve">Предусмотрена ответственность за нарушение режима информации и утечку данных.</w:t>
      </w:r>
    </w:p>
    <w:p>
      <w:r>
        <w:pict>
          <v:rect style="width:0;height:1.5pt" o:hralign="center" o:hrstd="t" o:hr="t"/>
        </w:pict>
      </w:r>
    </w:p>
    <w:bookmarkEnd w:id="29"/>
    <w:bookmarkStart w:id="30" w:name="compliance"/>
    <w:p>
      <w:pPr>
        <w:pStyle w:val="Heading2"/>
      </w:pPr>
      <w:r>
        <w:t xml:space="preserve">9. Compliance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с кем именно мы заключаем договор и нет ли в сделке запрещённых схем.</w:t>
      </w:r>
    </w:p>
    <w:p>
      <w:pPr>
        <w:numPr>
          <w:ilvl w:val="0"/>
          <w:numId w:val="1018"/>
        </w:numPr>
        <w:pStyle w:val="Compact"/>
      </w:pPr>
      <w:r>
        <w:t xml:space="preserve">Контрагент, его участники и бенефициары проверены по санкционным перечням.</w:t>
      </w:r>
    </w:p>
    <w:p>
      <w:pPr>
        <w:numPr>
          <w:ilvl w:val="0"/>
          <w:numId w:val="1018"/>
        </w:numPr>
        <w:pStyle w:val="Compact"/>
      </w:pPr>
      <w:r>
        <w:t xml:space="preserve">Бенефициарные владельцы установлены, структура владения прозрачна.</w:t>
      </w:r>
    </w:p>
    <w:p>
      <w:pPr>
        <w:numPr>
          <w:ilvl w:val="0"/>
          <w:numId w:val="1018"/>
        </w:numPr>
        <w:pStyle w:val="Compact"/>
      </w:pPr>
      <w:r>
        <w:t xml:space="preserve">Конфликта интересов нет: аффилированность с работниками Компании не выявлена.</w:t>
      </w:r>
    </w:p>
    <w:p>
      <w:pPr>
        <w:numPr>
          <w:ilvl w:val="0"/>
          <w:numId w:val="1018"/>
        </w:numPr>
        <w:pStyle w:val="Compact"/>
      </w:pPr>
      <w:r>
        <w:t xml:space="preserve">Антикоррупционные риски оценены: обоснованность посредников и агентских вознаграждений,</w:t>
      </w:r>
      <w:r>
        <w:t xml:space="preserve"> </w:t>
      </w:r>
      <w:r>
        <w:t xml:space="preserve">отсутствие необоснованных комиссий и платежей третьим лицам.</w:t>
      </w:r>
    </w:p>
    <w:p>
      <w:pPr>
        <w:numPr>
          <w:ilvl w:val="0"/>
          <w:numId w:val="1018"/>
        </w:numPr>
        <w:pStyle w:val="Compact"/>
      </w:pPr>
      <w:r>
        <w:t xml:space="preserve">Проверены признаки неблагонадёжности: срок деятельности, ресурсы, судебные споры,</w:t>
      </w:r>
      <w:r>
        <w:t xml:space="preserve"> </w:t>
      </w:r>
      <w:r>
        <w:t xml:space="preserve">исполнительные производства, банкротство.</w:t>
      </w:r>
    </w:p>
    <w:p>
      <w:pPr>
        <w:numPr>
          <w:ilvl w:val="0"/>
          <w:numId w:val="1018"/>
        </w:numPr>
        <w:pStyle w:val="Compact"/>
      </w:pPr>
      <w:r>
        <w:t xml:space="preserve">Контрагент не в реестрах недобросовестных поставщиков и должников.</w:t>
      </w:r>
    </w:p>
    <w:p>
      <w:pPr>
        <w:numPr>
          <w:ilvl w:val="0"/>
          <w:numId w:val="1018"/>
        </w:numPr>
        <w:pStyle w:val="Compact"/>
      </w:pPr>
      <w:r>
        <w:t xml:space="preserve">Для ВЭД учтены страновые ограничения и экспортный контроль.</w:t>
      </w:r>
    </w:p>
    <w:p>
      <w:pPr>
        <w:numPr>
          <w:ilvl w:val="0"/>
          <w:numId w:val="1018"/>
        </w:numPr>
        <w:pStyle w:val="Compact"/>
      </w:pPr>
      <w:r>
        <w:t xml:space="preserve">Результат проверки сохранён в карточке как доказательство должной осмотрительности.</w:t>
      </w:r>
    </w:p>
    <w:p>
      <w:r>
        <w:pict>
          <v:rect style="width:0;height:1.5pt" o:hralign="center" o:hrstd="t" o:hr="t"/>
        </w:pict>
      </w:r>
    </w:p>
    <w:bookmarkEnd w:id="30"/>
    <w:bookmarkStart w:id="31" w:name="подписант"/>
    <w:p>
      <w:pPr>
        <w:pStyle w:val="Heading2"/>
      </w:pPr>
      <w:r>
        <w:t xml:space="preserve">10. Подписант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всё ли закрыто до него и вправе ли он подписывать эту сделку.</w:t>
      </w:r>
      <w:r>
        <w:t xml:space="preserve"> </w:t>
      </w:r>
      <w:r>
        <w:t xml:space="preserve">Детальные проверки не дублирует.</w:t>
      </w:r>
    </w:p>
    <w:p>
      <w:pPr>
        <w:numPr>
          <w:ilvl w:val="0"/>
          <w:numId w:val="1019"/>
        </w:numPr>
        <w:pStyle w:val="Compact"/>
      </w:pPr>
      <w:r>
        <w:t xml:space="preserve">Обязательный маршрут завершён, незакрытых блокирующих замечаний нет.</w:t>
      </w:r>
    </w:p>
    <w:p>
      <w:pPr>
        <w:numPr>
          <w:ilvl w:val="0"/>
          <w:numId w:val="1019"/>
        </w:numPr>
        <w:pStyle w:val="Compact"/>
      </w:pPr>
      <w:r>
        <w:t xml:space="preserve">Все остаточные риски приняты уполномоченным лицом.</w:t>
      </w:r>
    </w:p>
    <w:p>
      <w:pPr>
        <w:numPr>
          <w:ilvl w:val="0"/>
          <w:numId w:val="1019"/>
        </w:numPr>
        <w:pStyle w:val="Compact"/>
      </w:pPr>
      <w:r>
        <w:t xml:space="preserve">Сумма, срок и вид сделки в пределах его полномочий по Матрице принятия решений</w:t>
      </w:r>
      <w:r>
        <w:t xml:space="preserve"> </w:t>
      </w:r>
      <w:r>
        <w:t xml:space="preserve">и доверенности.</w:t>
      </w:r>
    </w:p>
    <w:p>
      <w:pPr>
        <w:numPr>
          <w:ilvl w:val="0"/>
          <w:numId w:val="1019"/>
        </w:numPr>
        <w:pStyle w:val="Compact"/>
      </w:pPr>
      <w:r>
        <w:t xml:space="preserve">Обязательные корпоративные одобрения получены.</w:t>
      </w:r>
    </w:p>
    <w:p>
      <w:pPr>
        <w:numPr>
          <w:ilvl w:val="0"/>
          <w:numId w:val="1019"/>
        </w:numPr>
        <w:pStyle w:val="Compact"/>
      </w:pPr>
      <w:r>
        <w:t xml:space="preserve">Версия на подпись идентична согласованной.</w:t>
      </w:r>
    </w:p>
    <w:p>
      <w:pPr>
        <w:numPr>
          <w:ilvl w:val="0"/>
          <w:numId w:val="1019"/>
        </w:numPr>
        <w:pStyle w:val="Compact"/>
      </w:pPr>
      <w:r>
        <w:t xml:space="preserve">Рассмотрена сводка ключевых рисков и принятых отклонений.</w:t>
      </w:r>
    </w:p>
    <w:p>
      <w:pPr>
        <w:numPr>
          <w:ilvl w:val="0"/>
          <w:numId w:val="1019"/>
        </w:numPr>
        <w:pStyle w:val="Compact"/>
      </w:pPr>
      <w:r>
        <w:t xml:space="preserve">Определены способ подписания и место хранения электронного подлинника.</w:t>
      </w:r>
    </w:p>
    <w:p>
      <w:r>
        <w:pict>
          <v:rect style="width:0;height:1.5pt" o:hralign="center" o:hrstd="t" o:hr="t"/>
        </w:pict>
      </w:r>
    </w:p>
    <w:bookmarkEnd w:id="31"/>
    <w:bookmarkStart w:id="32" w:name="X248bc7f7bcfa37a269e2b9ed5d5b6a057b058f8"/>
    <w:p>
      <w:pPr>
        <w:pStyle w:val="Heading2"/>
      </w:pPr>
      <w:r>
        <w:t xml:space="preserve">11. Генеральный директор — решение по остаточному риску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достаточно ли раскрыт риск для принятия решения, и принимает решение.</w:t>
      </w:r>
    </w:p>
    <w:p>
      <w:pPr>
        <w:numPr>
          <w:ilvl w:val="0"/>
          <w:numId w:val="1020"/>
        </w:numPr>
        <w:pStyle w:val="Compact"/>
      </w:pPr>
      <w:r>
        <w:t xml:space="preserve">Карточка риска заполнена: документ и версия, описание риска, последствия,</w:t>
      </w:r>
      <w:r>
        <w:t xml:space="preserve"> </w:t>
      </w:r>
      <w:r>
        <w:t xml:space="preserve">позиции подразделения и инициатора, меры снижения, рекомендация ДПВ.</w:t>
      </w:r>
    </w:p>
    <w:p>
      <w:pPr>
        <w:numPr>
          <w:ilvl w:val="0"/>
          <w:numId w:val="1020"/>
        </w:numPr>
        <w:pStyle w:val="Compact"/>
      </w:pPr>
      <w:r>
        <w:t xml:space="preserve">Последствия и меры снижения раскрыты в объёме, достаточном для решения.</w:t>
      </w:r>
    </w:p>
    <w:p>
      <w:pPr>
        <w:numPr>
          <w:ilvl w:val="0"/>
          <w:numId w:val="1020"/>
        </w:numPr>
        <w:pStyle w:val="Compact"/>
      </w:pPr>
      <w:r>
        <w:t xml:space="preserve">Вопрос относится к его компетенции; иначе направляется компетентному лицу или органу.</w:t>
      </w:r>
    </w:p>
    <w:p>
      <w:pPr>
        <w:numPr>
          <w:ilvl w:val="0"/>
          <w:numId w:val="1020"/>
        </w:numPr>
        <w:pStyle w:val="Compact"/>
      </w:pPr>
      <w:r>
        <w:t xml:space="preserve">Решение зафиксировано отдельным действием в SimBASE: принять, не принять,</w:t>
      </w:r>
      <w:r>
        <w:t xml:space="preserve"> </w:t>
      </w:r>
      <w:r>
        <w:t xml:space="preserve">вернуть на доработку или направить другому лицу.</w:t>
      </w:r>
    </w:p>
    <w:p>
      <w:pPr>
        <w:numPr>
          <w:ilvl w:val="0"/>
          <w:numId w:val="1020"/>
        </w:numPr>
        <w:pStyle w:val="Compact"/>
      </w:pPr>
      <w:r>
        <w:t xml:space="preserve">Решение привязано к конкретной версии; при существенном изменении договора</w:t>
      </w:r>
      <w:r>
        <w:t xml:space="preserve"> </w:t>
      </w:r>
      <w:r>
        <w:t xml:space="preserve">требуется повторная оценка.</w:t>
      </w:r>
    </w:p>
    <w:p>
      <w:pPr>
        <w:numPr>
          <w:ilvl w:val="0"/>
          <w:numId w:val="1020"/>
        </w:numPr>
        <w:pStyle w:val="Compact"/>
      </w:pPr>
      <w:r>
        <w:t xml:space="preserve">Принятие риска не заменяет корпоративные одобрения и полномочия подписанта.</w:t>
      </w:r>
    </w:p>
    <w:p>
      <w:r>
        <w:pict>
          <v:rect style="width:0;height:1.5pt" o:hralign="center" o:hrstd="t" o:hr="t"/>
        </w:pict>
      </w:r>
    </w:p>
    <w:bookmarkEnd w:id="32"/>
    <w:bookmarkStart w:id="33" w:name="контролёр-исполнения"/>
    <w:p>
      <w:pPr>
        <w:pStyle w:val="Heading2"/>
      </w:pPr>
      <w:r>
        <w:t xml:space="preserve">12. Контролёр исполнения</w:t>
      </w:r>
    </w:p>
    <w:p>
      <w:pPr>
        <w:pStyle w:val="FirstParagraph"/>
      </w:pPr>
      <w:r>
        <w:rPr>
          <w:bCs/>
          <w:b/>
        </w:rPr>
        <w:t xml:space="preserve">Проверяет:</w:t>
      </w:r>
      <w:r>
        <w:t xml:space="preserve"> </w:t>
      </w:r>
      <w:r>
        <w:t xml:space="preserve">исполнено ли конкретное обязательство в срок.</w:t>
      </w:r>
    </w:p>
    <w:p>
      <w:pPr>
        <w:numPr>
          <w:ilvl w:val="0"/>
          <w:numId w:val="1021"/>
        </w:numPr>
        <w:pStyle w:val="Compact"/>
      </w:pPr>
      <w:r>
        <w:t xml:space="preserve">Обязательство, срок и требуемый вид подтверждения определены.</w:t>
      </w:r>
    </w:p>
    <w:p>
      <w:pPr>
        <w:numPr>
          <w:ilvl w:val="0"/>
          <w:numId w:val="1021"/>
        </w:numPr>
        <w:pStyle w:val="Compact"/>
      </w:pPr>
      <w:r>
        <w:t xml:space="preserve">Приложено подтверждение исполнения: документ, системное событие или мотивированный</w:t>
      </w:r>
      <w:r>
        <w:t xml:space="preserve"> </w:t>
      </w:r>
      <w:r>
        <w:t xml:space="preserve">комментарий, если документ не формируется.</w:t>
      </w:r>
    </w:p>
    <w:p>
      <w:pPr>
        <w:numPr>
          <w:ilvl w:val="0"/>
          <w:numId w:val="1021"/>
        </w:numPr>
        <w:pStyle w:val="Compact"/>
      </w:pPr>
      <w:r>
        <w:t xml:space="preserve">О риске нарушения срока заранее сообщено инициатору и своему руководителю.</w:t>
      </w:r>
    </w:p>
    <w:p>
      <w:pPr>
        <w:numPr>
          <w:ilvl w:val="0"/>
          <w:numId w:val="1021"/>
        </w:numPr>
        <w:pStyle w:val="Compact"/>
      </w:pPr>
      <w:r>
        <w:t xml:space="preserve">Причина нарушения зафиксирована отдельно от факта просрочки, указаны меры и эскалация.</w:t>
      </w:r>
    </w:p>
    <w:p>
      <w:pPr>
        <w:numPr>
          <w:ilvl w:val="0"/>
          <w:numId w:val="1021"/>
        </w:numPr>
        <w:pStyle w:val="Compact"/>
      </w:pPr>
      <w:r>
        <w:t xml:space="preserve">Обязательная отчётность по договору представлена.</w:t>
      </w:r>
    </w:p>
    <w:p>
      <w:pPr>
        <w:numPr>
          <w:ilvl w:val="0"/>
          <w:numId w:val="1021"/>
        </w:numPr>
        <w:pStyle w:val="Compact"/>
      </w:pPr>
      <w:r>
        <w:t xml:space="preserve">Обязательства, продолжающиеся после основного срока, выделены в отдельные задачи.</w:t>
      </w:r>
    </w:p>
    <w:p>
      <w:r>
        <w:pict>
          <v:rect style="width:0;height:1.5pt" o:hralign="center" o:hrstd="t" o:hr="t"/>
        </w:pict>
      </w:r>
    </w:p>
    <w:bookmarkEnd w:id="33"/>
    <w:bookmarkStart w:id="34" w:name="что-нужно-решить-до-настройки"/>
    <w:p>
      <w:pPr>
        <w:pStyle w:val="Heading2"/>
      </w:pPr>
      <w:r>
        <w:t xml:space="preserve">Что нужно решить до настройки</w:t>
      </w:r>
    </w:p>
    <w:p>
      <w:pPr>
        <w:numPr>
          <w:ilvl w:val="0"/>
          <w:numId w:val="1022"/>
        </w:numPr>
        <w:pStyle w:val="Compact"/>
      </w:pPr>
      <w:r>
        <w:t xml:space="preserve">Пороговые суммы: когда подключается Compliance, когда нужны финансовая модель</w:t>
      </w:r>
      <w:r>
        <w:t xml:space="preserve"> </w:t>
      </w:r>
      <w:r>
        <w:t xml:space="preserve">и проверка платёжеспособности, какая доля аванса требует обеспечения.</w:t>
      </w:r>
    </w:p>
    <w:p>
      <w:pPr>
        <w:numPr>
          <w:ilvl w:val="0"/>
          <w:numId w:val="1022"/>
        </w:numPr>
        <w:pStyle w:val="Compact"/>
      </w:pPr>
      <w:r>
        <w:t xml:space="preserve">Сроки согласования по подразделениям.</w:t>
      </w:r>
    </w:p>
    <w:p>
      <w:pPr>
        <w:numPr>
          <w:ilvl w:val="0"/>
          <w:numId w:val="1022"/>
        </w:numPr>
        <w:pStyle w:val="Compact"/>
      </w:pPr>
      <w:r>
        <w:t xml:space="preserve">Перечень пунктов, по которым остаточный риск недопустим в принципе</w:t>
      </w:r>
      <w:r>
        <w:t xml:space="preserve"> </w:t>
      </w:r>
      <w:r>
        <w:t xml:space="preserve">(предложение подготовлено: 84 пункта из 180).</w:t>
      </w:r>
    </w:p>
    <w:p>
      <w:pPr>
        <w:numPr>
          <w:ilvl w:val="0"/>
          <w:numId w:val="1022"/>
        </w:numPr>
        <w:pStyle w:val="Compact"/>
      </w:pPr>
      <w:r>
        <w:t xml:space="preserve">Какие государственные сервисы доступны для автопроверок (госреестр,</w:t>
      </w:r>
      <w:r>
        <w:t xml:space="preserve"> </w:t>
      </w:r>
      <w:r>
        <w:t xml:space="preserve">налоговые сервисы, судебные и санкционные реестры).</w:t>
      </w:r>
    </w:p>
    <w:p>
      <w:pPr>
        <w:numPr>
          <w:ilvl w:val="0"/>
          <w:numId w:val="1022"/>
        </w:numPr>
        <w:pStyle w:val="Compact"/>
      </w:pPr>
      <w:r>
        <w:t xml:space="preserve">Незаполненные значения самих Правил: сроки в пп. 3.2.7, 4.3.5, 9.6 и роли,</w:t>
      </w:r>
      <w:r>
        <w:t xml:space="preserve"> </w:t>
      </w:r>
      <w:r>
        <w:t xml:space="preserve">оставленные пустыми в Приложении 2.</w:t>
      </w:r>
    </w:p>
    <w:bookmarkEnd w:id="34"/>
    <w:sectPr>
      <w:footerReference r:id="rId9" w:type="default"/>
      <w:pgSz w:h="16838" w:w="11906"/>
      <w:pgMar w:bottom="1134" w:footer="425" w:gutter="0" w:header="425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8"/>
        <w:color w:val="808080"/>
      </w:rPr>
    </w:pP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30">
    <w:nsid w:val="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updateFields w:val="true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ru-RU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Чек-листы согласования договоров: краткое ТЗ</dc:title>
  <dc:creator/>
  <dc:language>ru-RU</dc:language>
  <cp:keywords/>
  <dcterms:created xsi:type="dcterms:W3CDTF">2026-09-17T05:55:41Z</dcterms:created>
  <dcterms:modified xsi:type="dcterms:W3CDTF">2026-09-17T05:55:41Z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ТОО «Көркем Телеком», 2026</vt:lpwstr>
  </property>
  <property fmtid="{D5CDD505-2E9C-101B-9397-08002B2CF9AE}" pid="3" name="subtitle">
    <vt:lpwstr>Что проверяет каждая роль. Версия 0.2 (проект)</vt:lpwstr>
  </property>
  <property fmtid="{D5CDD505-2E9C-101B-9397-08002B2CF9AE}" pid="4" name="toc-title">
    <vt:lpwstr>Содержание</vt:lpwstr>
  </property>
</Properties>
</file>