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r w:rsidDel="00000000" w:rsidR="00000000" w:rsidRPr="00000000">
        <w:rPr>
          <w:rFonts w:ascii="Google Sans" w:cs="Google Sans" w:eastAsia="Google Sans" w:hAnsi="Google Sans"/>
          <w:sz w:val="24"/>
          <w:szCs w:val="24"/>
          <w:rtl w:val="0"/>
        </w:rPr>
        <w:t xml:space="preserve">controls, frameworks, and compliance</w:t>
      </w:r>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rtl w:val="0"/>
        </w:rPr>
        <w:t xml:space="preserve">If Botium Toys does not comply with these regulations, they would face disciplinary action and could even lead to fines, and furthermore a ban on operating in the EU. This is because they are collecting personal information from people within the E.U.</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stores, accepts and processing card information in person and online. Therefore this sensitive information must be kept securely.</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This is to ensure that appropriate user access is authorized for internal and external personnel only. This helps to mitigate risks and ensure data is stored safely.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