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 Propagation Algorithm For Reliability Analysis In Acyclic Process Networks</w:t>
      </w:r>
    </w:p>
    <w:p>
      <w:pPr>
        <w:pStyle w:val="Author"/>
      </w:pPr>
      <w:r>
        <w:t xml:space="preserve">Temitope Ohiani</w:t>
      </w:r>
    </w:p>
    <w:p>
      <w:pPr>
        <w:pStyle w:val="Author"/>
      </w:pPr>
      <w:r>
        <w:t xml:space="preserve">Caroline Pyke</w:t>
      </w:r>
    </w:p>
    <w:p>
      <w:pPr>
        <w:pStyle w:val="Author"/>
      </w:pPr>
      <w:r>
        <w:t xml:space="preserve">Edoardo Patelli</w:t>
      </w:r>
    </w:p>
    <w:p>
      <w:pPr>
        <w:pStyle w:val="AbstractTitle"/>
      </w:pPr>
      <w:r>
        <w:t xml:space="preserve">Abstract</w:t>
      </w:r>
    </w:p>
    <w:p>
      <w:pPr>
        <w:pStyle w:val="Abstract"/>
      </w:pPr>
      <w:r>
        <w:t xml:space="preserve">Directed acyclic network models arise in many infrastructure, logistics, and process-engineering applications where analysts need to assess both structural connectivity and deliverable throughput. These two questions are related but distinct: reachability analysis evaluates whether viable source-to-target paths exist under component uncertainty, whereas flow analysis quantifies how much resource can be delivered under capacity constraints. Although both types of analysis are well established individually, practical engineering workflows often require them to be implemented on a shared graph representation so that multiple performance questions can be answered consistently without repeated model transformation.</w:t>
      </w:r>
    </w:p>
    <w:p>
      <w:pPr>
        <w:pStyle w:val="Abstract"/>
      </w:pPr>
      <w:r>
        <w:t xml:space="preserve">This paper presents a computational toolkit for reachability and flow diagnostics in capacitated directed acyclic graphs. The toolkit builds on the Information Propagation Framework by combining exact reachability propagation with classical max-flow-based analysis, min-cut diagnostics, structural fragility queries, sensitivity measures, failure-impact studies, and parametric threshold analysis. The implementation is centred on a common preprocessed graph object that stores adjacency, traversal, and capacity metadata, enabling repeated solver calls and downstream diagnostics without re-parsing or reconstructing the network. Multi-source multi-sink networks are handled through automatic super-terminal reduction, while node-capacitated models are supported through internal node splitting with all results mapped back to the user’s original graph.</w:t>
      </w:r>
    </w:p>
    <w:p>
      <w:pPr>
        <w:pStyle w:val="Abstract"/>
      </w:pPr>
      <w:r>
        <w:t xml:space="preserve">The capabilities of the toolkit are demonstrated on a synthetic benchmark DAG with two alternative capacity configurations. The case study shows that networks with identical maximum throughput can exhibit substantially different bottleneck structures, cut degeneracy, upgrade effectiveness, and robustness to degradation. The contribution of the paper is therefore not new flow theory, but a unified computational implementation that integrates reachability and throughput analysis for directed acyclic network models in a reusable diagnostic framework.</w:t>
      </w:r>
    </w:p>
    <w:bookmarkStart w:id="9" w:name="introduction"/>
    <w:p>
      <w:pPr>
        <w:pStyle w:val="Heading1"/>
      </w:pPr>
      <w:r>
        <w:rPr>
          <w:rStyle w:val="SectionNumber"/>
        </w:rPr>
        <w:t xml:space="preserve">1</w:t>
      </w:r>
      <w:r>
        <w:tab/>
      </w:r>
      <w:r>
        <w:t xml:space="preserve">Introduction</w:t>
      </w:r>
    </w:p>
    <w:p>
      <w:pPr>
        <w:pStyle w:val="FirstParagraph"/>
      </w:pPr>
      <w:r>
        <w:t xml:space="preserve">Many engineered systems can be represented as directed networks through which resources, signals, or services propagate from origin nodes to downstream demand nodes. Examples include supply and logistics systems, treatment and processing networks, communication systems, transport infrastructures, and utility distribution systems. In such settings, analysts are rarely interested in connectivity alone. Instead, they typically need to answer at least two distinct questions. First,</w:t>
      </w:r>
      <w:r>
        <w:t xml:space="preserve"> </w:t>
      </w:r>
      <w:r>
        <w:rPr>
          <w:i/>
          <w:iCs/>
        </w:rPr>
        <w:t xml:space="preserve">reachability</w:t>
      </w:r>
      <w:r>
        <w:t xml:space="preserve">: does at least one viable path exist from the relevant source set to the target set under uncertain component or transmission behaviour? Second,</w:t>
      </w:r>
      <w:r>
        <w:t xml:space="preserve"> </w:t>
      </w:r>
      <w:r>
        <w:rPr>
          <w:i/>
          <w:iCs/>
        </w:rPr>
        <w:t xml:space="preserve">throughput</w:t>
      </w:r>
      <w:r>
        <w:t xml:space="preserve">: if the network remains connected, how much resource can actually be delivered under the active capacity constraints of edges and nodes?</w:t>
      </w:r>
    </w:p>
    <w:p>
      <w:pPr>
        <w:pStyle w:val="BodyText"/>
      </w:pPr>
      <w:r>
        <w:t xml:space="preserve">These two questions are related but not equivalent. A network may remain reachable while delivering insufficient flow to meet demand, either because bottleneck edges restrict throughput or because internal nodes enter degraded operating states. Conversely, a network may possess large nominal capacities but still be vulnerable to structural chokepoints whose failure disconnects critical demand regions. In practice, engineering decisions often require both views simultaneously: a planner may want to know whether supply can still reach a given target, how much can be delivered under current operating conditions, which components form the active bottleneck, and what margin exists before a target service level is breached.</w:t>
      </w:r>
    </w:p>
    <w:p>
      <w:pPr>
        <w:pStyle w:val="BodyText"/>
      </w:pPr>
      <w:r>
        <w:t xml:space="preserve">A companion paper develops the theoretical basis of information propagation and exact reachability analysis in directed acyclic graphs (DAGs), including the treatment of reconvergent dependency structures through conditional decomposition. The present paper addresses a different but complementary problem: the</w:t>
      </w:r>
      <w:r>
        <w:t xml:space="preserve"> </w:t>
      </w:r>
      <w:r>
        <w:rPr>
          <w:i/>
          <w:iCs/>
        </w:rPr>
        <w:t xml:space="preserve">computational implementation</w:t>
      </w:r>
      <w:r>
        <w:t xml:space="preserve"> </w:t>
      </w:r>
      <w:r>
        <w:t xml:space="preserve">of reachability and flow analysis in a reusable network-analysis toolkit. The focus here is not on introducing new max-flow theory, but on showing how exact reachability propagation and classical flow optimisation can be implemented on a common DAG representation so that multiple analytical queries can be answered consistently and efficiently within the same computational framework.</w:t>
      </w:r>
    </w:p>
    <w:p>
      <w:pPr>
        <w:pStyle w:val="BodyText"/>
      </w:pPr>
      <w:r>
        <w:t xml:space="preserve">This implementation perspective matters because practical workflows rarely involve a single query on a single network state. Engineers frequently need to evaluate multiple operating scenarios, compare design alternatives, identify bottlenecks, rank component importance, estimate the impact of failures, and determine upgrade or degradation thresholds relative to target demand levels. If each of these tasks requires a separate graph transformation, solver-specific preprocessing step, or external package, the analytical workflow becomes fragmented and difficult to maintain. A more useful approach is to build these analyses on top of a shared graph object that stores the structural and parametric information once and exposes it to a family of compatible solver and diagnostic modules.</w:t>
      </w:r>
    </w:p>
    <w:p>
      <w:pPr>
        <w:pStyle w:val="BodyText"/>
      </w:pPr>
      <w:r>
        <w:t xml:space="preserve">This paper presents such a toolkit for capacitated directed acyclic networks. The implementation combines:</w:t>
      </w:r>
    </w:p>
    <w:p>
      <w:pPr>
        <w:numPr>
          <w:ilvl w:val="0"/>
          <w:numId w:val="1001"/>
        </w:numPr>
      </w:pPr>
      <w:r>
        <w:t xml:space="preserve">exact reachability analysis on DAGs through the Information Propagation Framework;</w:t>
      </w:r>
    </w:p>
    <w:p>
      <w:pPr>
        <w:numPr>
          <w:ilvl w:val="0"/>
          <w:numId w:val="1001"/>
        </w:numPr>
      </w:pPr>
      <w:r>
        <w:t xml:space="preserve">maximum-flow computation under edge capacities and, when required, node capacities;</w:t>
      </w:r>
    </w:p>
    <w:p>
      <w:pPr>
        <w:numPr>
          <w:ilvl w:val="0"/>
          <w:numId w:val="1001"/>
        </w:numPr>
      </w:pPr>
      <w:r>
        <w:t xml:space="preserve">min-cut, bottleneck, and cut-degeneracy diagnostics;</w:t>
      </w:r>
    </w:p>
    <w:p>
      <w:pPr>
        <w:numPr>
          <w:ilvl w:val="0"/>
          <w:numId w:val="1001"/>
        </w:numPr>
      </w:pPr>
      <w:r>
        <w:t xml:space="preserve">structural path-based analyses such as route decomposition and single points of failure;</w:t>
      </w:r>
    </w:p>
    <w:p>
      <w:pPr>
        <w:numPr>
          <w:ilvl w:val="0"/>
          <w:numId w:val="1001"/>
        </w:numPr>
      </w:pPr>
      <w:r>
        <w:t xml:space="preserve">flow-sensitivity, failure-impact, and parametric threshold analyses.</w:t>
      </w:r>
    </w:p>
    <w:p>
      <w:pPr>
        <w:pStyle w:val="FirstParagraph"/>
      </w:pPr>
      <w:r>
        <w:t xml:space="preserve">All of these are implemented on a common network representation produced during input processing. This representation stores adjacency information, topological traversal order, source and sink metadata, and capacity attributes, allowing repeated analyses to reuse the same preprocessed graph rather than reconstructing it for every task.</w:t>
      </w:r>
    </w:p>
    <w:p>
      <w:pPr>
        <w:pStyle w:val="BodyText"/>
      </w:pPr>
      <w:r>
        <w:t xml:space="preserve">Two implementation features are particularly important. First, multi-source multi-sink networks are reduced automatically to equivalent single-source single-sink max-flow problems through the addition of super-terminals. Second, when node throughput limits are present, node-capacitated models are handled internally via node splitting, with all public outputs remapped to the user’s original graph so that results remain interpretable at the engineering level. In this way, standard flow optimisation machinery can be embedded in a domain-oriented DAG toolkit without exposing the user to the underlying graph transformations.</w:t>
      </w:r>
    </w:p>
    <w:p>
      <w:pPr>
        <w:pStyle w:val="BodyText"/>
      </w:pPr>
      <w:r>
        <w:t xml:space="preserve">The paper therefore has two aims. The first is to define the computational semantics of reachability and flow within a unified DAG framework. The second is to show how this implementation supports a broad set of engineering diagnostics beyond baseline maximum-flow computation. The toolkit is organised around a core flow engine and a set of derived analysis modules that reuse the solved flow state, residual graph, and cut structure to answer higher-level questions about bottlenecks, fragility, sensitivity, degradation, and service margins.</w:t>
      </w:r>
    </w:p>
    <w:p>
      <w:pPr>
        <w:pStyle w:val="BodyText"/>
      </w:pPr>
      <w:r>
        <w:t xml:space="preserve">To demonstrate the implementation, the paper applies the toolkit to a synthetic benchmark network with two alternative capacity configurations. The benchmark is designed so that both configurations achieve the same baseline maximum throughput while differing in bottleneck structure, min-cut degeneracy, and upgrade effectiveness. This allows the case study to show that a single headline flow value is often insufficient for design comparison, and that richer flow and reachability diagnostics are needed to distinguish between superficially similar networks.</w:t>
      </w:r>
    </w:p>
    <w:p>
      <w:pPr>
        <w:pStyle w:val="BodyText"/>
      </w:pPr>
      <w:r>
        <w:t xml:space="preserve">The contribution of the paper is therefore not a new flow algorithm in isolation, but a computational framework that integrates exact reachability analysis and classical flow-based diagnostics for directed acyclic networks in a unified implementation. By combining these capabilities on a shared graph representation, the toolkit supports repeated analysis across scenarios and exposes a wider range of decision-relevant outputs than either reachability or max-flow computation alone.</w:t>
      </w:r>
    </w:p>
    <w:p>
      <w:pPr>
        <w:pStyle w:val="BodyText"/>
      </w:pPr>
      <w:r>
        <w:t xml:space="preserve">The remainder of the paper is organised as follows. Section 2 introduces the computational semantics of reachability and flow in the toolkit and formalises the underlying network model. Section 3 presents the core flow engine, including multi-terminal reduction, node-capacitated extensions, and solver implementation choices. Section 4 describes the derived diagnostic modules built on top of the baseline flow solution. Section 5 discusses exactness, validation, and scope. Section 6 demonstrates the toolkit on a synthetic benchmark DAG with two alternative configurations. Section 7 concludes the paper.</w:t>
      </w:r>
    </w:p>
    <w:bookmarkEnd w:id="9"/>
    <w:bookmarkStart w:id="20" w:name="X42c58fcfbb7cfaeda767e41b5f626ffa6490cd6"/>
    <w:p>
      <w:pPr>
        <w:pStyle w:val="Heading1"/>
      </w:pPr>
      <w:r>
        <w:rPr>
          <w:rStyle w:val="SectionNumber"/>
        </w:rPr>
        <w:t xml:space="preserve">2</w:t>
      </w:r>
      <w:r>
        <w:tab/>
      </w:r>
      <w:r>
        <w:t xml:space="preserve">Computational Semantics of Reachability and Flow</w:t>
      </w:r>
    </w:p>
    <w:p>
      <w:pPr>
        <w:pStyle w:val="FirstParagraph"/>
      </w:pPr>
      <w:r>
        <w:t xml:space="preserve">This section defines the network model and the computational semantics used by the toolkit. The aim is not to redevelop the theory of reachability or max-flow from first principles, but to specify how both are represented and solved within a common directed acyclic graph (DAG) framework.</w:t>
      </w:r>
    </w:p>
    <w:bookmarkStart w:id="10" w:name="shared-graph-representation"/>
    <w:p>
      <w:pPr>
        <w:pStyle w:val="Heading2"/>
      </w:pPr>
      <w:r>
        <w:rPr>
          <w:rStyle w:val="SectionNumber"/>
        </w:rPr>
        <w:t xml:space="preserve">2.1</w:t>
      </w:r>
      <w:r>
        <w:tab/>
      </w:r>
      <w:r>
        <w:t xml:space="preserve">Shared Graph Representation</w:t>
      </w:r>
    </w:p>
    <w:p>
      <w:pPr>
        <w:pStyle w:val="FirstParagraph"/>
      </w:pPr>
      <w:r>
        <w:t xml:space="preserve">Let</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be a directed acyclic graph, where</w:t>
      </w:r>
      <w:r>
        <w:t xml:space="preserve"> </w:t>
      </w:r>
      <m:oMath>
        <m:r>
          <m:t>V</m:t>
        </m:r>
      </m:oMath>
      <w:r>
        <w:t xml:space="preserve"> </w:t>
      </w:r>
      <w:r>
        <w:t xml:space="preserve">is the set of nodes and</w:t>
      </w:r>
      <w:r>
        <w:t xml:space="preserve"> </w:t>
      </w:r>
      <m:oMath>
        <m:r>
          <m:t>E</m:t>
        </m:r>
        <m:r>
          <m:rPr>
            <m:sty m:val="p"/>
          </m:rPr>
          <m:t>⊆</m:t>
        </m:r>
        <m:r>
          <m:t>V</m:t>
        </m:r>
        <m:r>
          <m:rPr>
            <m:sty m:val="p"/>
          </m:rPr>
          <m:t>×</m:t>
        </m:r>
        <m:r>
          <m:t>V</m:t>
        </m:r>
      </m:oMath>
      <w:r>
        <w:t xml:space="preserve"> </w:t>
      </w:r>
      <w:r>
        <w:t xml:space="preserve">is the set of directed edges. In the toolkit, this graph is stored as a shared computational object that contains:</w:t>
      </w:r>
    </w:p>
    <w:p>
      <w:pPr>
        <w:numPr>
          <w:ilvl w:val="0"/>
          <w:numId w:val="1002"/>
        </w:numPr>
      </w:pPr>
      <w:r>
        <w:t xml:space="preserve">adjacency information for incoming and outgoing neighbours,</w:t>
      </w:r>
    </w:p>
    <w:p>
      <w:pPr>
        <w:numPr>
          <w:ilvl w:val="0"/>
          <w:numId w:val="1002"/>
        </w:numPr>
      </w:pPr>
      <w:r>
        <w:t xml:space="preserve">source and sink metadata,</w:t>
      </w:r>
    </w:p>
    <w:p>
      <w:pPr>
        <w:numPr>
          <w:ilvl w:val="0"/>
          <w:numId w:val="1002"/>
        </w:numPr>
      </w:pPr>
      <w:r>
        <w:t xml:space="preserve">a precomputed topological order,</w:t>
      </w:r>
    </w:p>
    <w:p>
      <w:pPr>
        <w:numPr>
          <w:ilvl w:val="0"/>
          <w:numId w:val="1002"/>
        </w:numPr>
      </w:pPr>
      <w:r>
        <w:t xml:space="preserve">node and edge attributes, including probabilities and capacities,</w:t>
      </w:r>
    </w:p>
    <w:p>
      <w:pPr>
        <w:numPr>
          <w:ilvl w:val="0"/>
          <w:numId w:val="1002"/>
        </w:numPr>
      </w:pPr>
      <w:r>
        <w:t xml:space="preserve">auxiliary traversal structures used by reachability and flow solvers.</w:t>
      </w:r>
    </w:p>
    <w:p>
      <w:pPr>
        <w:pStyle w:val="FirstParagraph"/>
      </w:pPr>
      <w:r>
        <w:t xml:space="preserve">This common representation is central to the implementation. It allows multiple analysis modules to operate on the same preprocessed network without repeated parsing, graph reconstruction, or solver-specific reformatting.</w:t>
      </w:r>
    </w:p>
    <w:p>
      <w:pPr>
        <w:pStyle w:val="BodyText"/>
      </w:pPr>
      <w:r>
        <w:t xml:space="preserve">In the present paper, the same graph object supports two classes of analysis:</w:t>
      </w:r>
    </w:p>
    <w:p>
      <w:pPr>
        <w:numPr>
          <w:ilvl w:val="0"/>
          <w:numId w:val="1003"/>
        </w:numPr>
      </w:pPr>
      <w:r>
        <w:rPr>
          <w:b/>
          <w:bCs/>
        </w:rPr>
        <w:t xml:space="preserve">Reachability analysis</w:t>
      </w:r>
      <w:r>
        <w:t xml:space="preserve">, where the quantity of interest is the probability that at least one viable path exists from the relevant source set to a target node or sink set;</w:t>
      </w:r>
    </w:p>
    <w:p>
      <w:pPr>
        <w:numPr>
          <w:ilvl w:val="0"/>
          <w:numId w:val="1003"/>
        </w:numPr>
      </w:pPr>
      <w:r>
        <w:rPr>
          <w:b/>
          <w:bCs/>
        </w:rPr>
        <w:t xml:space="preserve">Flow analysis</w:t>
      </w:r>
      <w:r>
        <w:t xml:space="preserve">, where the quantity of interest is the maximum deliverable throughput under the active edge and node capacity constraints.</w:t>
      </w:r>
    </w:p>
    <w:p>
      <w:pPr>
        <w:pStyle w:val="FirstParagraph"/>
      </w:pPr>
      <w:r>
        <w:t xml:space="preserve">The first of these is developed theoretically in the companion IPA paper. The second is implemented here through a family of max-flow-based modules and derived diagnostics.</w:t>
      </w:r>
    </w:p>
    <w:bookmarkEnd w:id="10"/>
    <w:bookmarkStart w:id="11" w:name="reachability-semantics"/>
    <w:p>
      <w:pPr>
        <w:pStyle w:val="Heading2"/>
      </w:pPr>
      <w:r>
        <w:rPr>
          <w:rStyle w:val="SectionNumber"/>
        </w:rPr>
        <w:t xml:space="preserve">2.2</w:t>
      </w:r>
      <w:r>
        <w:tab/>
      </w:r>
      <w:r>
        <w:t xml:space="preserve">Reachability Semantics</w:t>
      </w:r>
    </w:p>
    <w:p>
      <w:pPr>
        <w:pStyle w:val="FirstParagraph"/>
      </w:pPr>
      <w:r>
        <w:t xml:space="preserve">In the reachability layer, each node and edge may carry probabilistic metadata representing operational availability, transmission success, or related uncertainty information. The resulting quantity of interest is not flow volume, but the probability that at least one active path connects a source to a target.</w:t>
      </w:r>
    </w:p>
    <w:p>
      <w:pPr>
        <w:pStyle w:val="BodyText"/>
      </w:pPr>
      <w:r>
        <w:t xml:space="preserve">For a node</w:t>
      </w:r>
      <w:r>
        <w:t xml:space="preserve"> </w:t>
      </w:r>
      <m:oMath>
        <m:r>
          <m:t>v</m:t>
        </m:r>
        <m:r>
          <m:rPr>
            <m:sty m:val="p"/>
          </m:rPr>
          <m:t>∈</m:t>
        </m:r>
        <m:r>
          <m:t>V</m:t>
        </m:r>
      </m:oMath>
      <w:r>
        <w:t xml:space="preserve">, let</w:t>
      </w:r>
    </w:p>
    <w:p>
      <w:pPr>
        <w:pStyle w:val="BodyText"/>
      </w:pPr>
      <m:oMathPara>
        <m:oMathParaPr>
          <m:jc m:val="center"/>
        </m:oMathParaPr>
        <m:oMath>
          <m:r>
            <m:t>R</m:t>
          </m:r>
          <m:r>
            <m:rPr>
              <m:sty m:val="p"/>
            </m:rPr>
            <m:t>(</m:t>
          </m:r>
          <m:r>
            <m:t>v</m:t>
          </m:r>
          <m:r>
            <m:rPr>
              <m:sty m:val="p"/>
            </m:rPr>
            <m:t>)</m:t>
          </m:r>
        </m:oMath>
      </m:oMathPara>
    </w:p>
    <w:p>
      <w:pPr>
        <w:pStyle w:val="FirstParagraph"/>
      </w:pPr>
      <w:r>
        <w:t xml:space="preserve">denote the intrinsic operational probability of node</w:t>
      </w:r>
      <w:r>
        <w:t xml:space="preserve"> </w:t>
      </w:r>
      <m:oMath>
        <m:r>
          <m:t>v</m:t>
        </m:r>
      </m:oMath>
      <w:r>
        <w:t xml:space="preserve">, and let</w:t>
      </w:r>
    </w:p>
    <w:p>
      <w:pPr>
        <w:pStyle w:val="BodyText"/>
      </w:pPr>
      <m:oMathPara>
        <m:oMathParaPr>
          <m:jc m:val="center"/>
        </m:oMathParaPr>
        <m:oMath>
          <m:r>
            <m:t>P</m:t>
          </m:r>
          <m:r>
            <m:rPr>
              <m:sty m:val="p"/>
            </m:rPr>
            <m:t>(</m:t>
          </m:r>
          <m:r>
            <m:t>u</m:t>
          </m:r>
          <m:r>
            <m:rPr>
              <m:sty m:val="p"/>
            </m:rPr>
            <m:t>,</m:t>
          </m:r>
          <m:r>
            <m:t>v</m:t>
          </m:r>
          <m:r>
            <m:rPr>
              <m:sty m:val="p"/>
            </m:rPr>
            <m:t>)</m:t>
          </m:r>
        </m:oMath>
      </m:oMathPara>
    </w:p>
    <w:p>
      <w:pPr>
        <w:pStyle w:val="FirstParagraph"/>
      </w:pPr>
      <w:r>
        <w:t xml:space="preserve">denote the transmission probability associated with edge</w:t>
      </w:r>
      <w:r>
        <w:t xml:space="preserve"> </w:t>
      </w:r>
      <m:oMath>
        <m:r>
          <m:rPr>
            <m:sty m:val="p"/>
          </m:rPr>
          <m:t>(</m:t>
        </m:r>
        <m:r>
          <m:t>u</m:t>
        </m:r>
        <m:r>
          <m:rPr>
            <m:sty m:val="p"/>
          </m:rPr>
          <m:t>,</m:t>
        </m:r>
        <m:r>
          <m:t>v</m:t>
        </m:r>
        <m:r>
          <m:rPr>
            <m:sty m:val="p"/>
          </m:rPr>
          <m:t>)</m:t>
        </m:r>
        <m:r>
          <m:rPr>
            <m:sty m:val="p"/>
          </m:rPr>
          <m:t>∈</m:t>
        </m:r>
        <m:r>
          <m:t>E</m:t>
        </m:r>
      </m:oMath>
      <w:r>
        <w:t xml:space="preserve">. The reachability module computes the node reliability</w:t>
      </w:r>
    </w:p>
    <w:p>
      <w:pPr>
        <w:pStyle w:val="BodyText"/>
      </w:pPr>
      <m:oMathPara>
        <m:oMathParaPr>
          <m:jc m:val="center"/>
        </m:oMathParaPr>
        <m:oMath>
          <m:r>
            <m:t>b</m:t>
          </m:r>
          <m:r>
            <m:rPr>
              <m:sty m:val="p"/>
            </m:rPr>
            <m:t>(</m:t>
          </m:r>
          <m:r>
            <m:t>v</m:t>
          </m:r>
          <m:r>
            <m:rPr>
              <m:sty m:val="p"/>
            </m:rPr>
            <m:t>)</m:t>
          </m:r>
          <m:r>
            <m:rPr>
              <m:sty m:val="p"/>
            </m:rPr>
            <m:t>=</m:t>
          </m:r>
          <m:r>
            <m:t>P</m:t>
          </m:r>
          <m:r>
            <m:rPr>
              <m:sty m:val="p"/>
            </m:rPr>
            <m:t>(</m:t>
          </m:r>
          <m:r>
            <m:rPr>
              <m:nor/>
              <m:sty m:val="p"/>
            </m:rPr>
            <m:t>at least one viable path reaches </m:t>
          </m:r>
          <m:r>
            <m:t>v</m:t>
          </m:r>
          <m:r>
            <m:rPr>
              <m:sty m:val="p"/>
            </m:rPr>
            <m:t>)</m:t>
          </m:r>
          <m:r>
            <m:rPr>
              <m:sty m:val="p"/>
            </m:rPr>
            <m:t>,</m:t>
          </m:r>
        </m:oMath>
      </m:oMathPara>
    </w:p>
    <w:p>
      <w:pPr>
        <w:pStyle w:val="FirstParagraph"/>
      </w:pPr>
      <w:r>
        <w:t xml:space="preserve">using the Information Propagation Algorithm developed in the companion paper. In that framework, reconvergent dependency structures are handled exactly through conditional decomposition on shared ancestors.</w:t>
      </w:r>
    </w:p>
    <w:p>
      <w:pPr>
        <w:pStyle w:val="BodyText"/>
      </w:pPr>
      <w:r>
        <w:t xml:space="preserve">In computational terms, reachability analysis answers structural survivability questions such as:</w:t>
      </w:r>
    </w:p>
    <w:p>
      <w:pPr>
        <w:numPr>
          <w:ilvl w:val="0"/>
          <w:numId w:val="1004"/>
        </w:numPr>
      </w:pPr>
      <w:r>
        <w:t xml:space="preserve">Is a target node likely to remain reachable from the source set?</w:t>
      </w:r>
    </w:p>
    <w:p>
      <w:pPr>
        <w:numPr>
          <w:ilvl w:val="0"/>
          <w:numId w:val="1004"/>
        </w:numPr>
      </w:pPr>
      <w:r>
        <w:t xml:space="preserve">Which parts of the graph are most critical for connectivity?</w:t>
      </w:r>
    </w:p>
    <w:p>
      <w:pPr>
        <w:numPr>
          <w:ilvl w:val="0"/>
          <w:numId w:val="1004"/>
        </w:numPr>
      </w:pPr>
      <w:r>
        <w:t xml:space="preserve">How does uncertainty in node or edge states affect path availability?</w:t>
      </w:r>
    </w:p>
    <w:p>
      <w:pPr>
        <w:pStyle w:val="FirstParagraph"/>
      </w:pPr>
      <w:r>
        <w:t xml:space="preserve">However, reachability alone does not quantify how much resource can be delivered when the network is connected. This motivates the flow layer.</w:t>
      </w:r>
    </w:p>
    <w:bookmarkEnd w:id="11"/>
    <w:bookmarkStart w:id="12" w:name="flow-semantics"/>
    <w:p>
      <w:pPr>
        <w:pStyle w:val="Heading2"/>
      </w:pPr>
      <w:r>
        <w:rPr>
          <w:rStyle w:val="SectionNumber"/>
        </w:rPr>
        <w:t xml:space="preserve">2.3</w:t>
      </w:r>
      <w:r>
        <w:tab/>
      </w:r>
      <w:r>
        <w:t xml:space="preserve">Flow Semantics</w:t>
      </w:r>
    </w:p>
    <w:p>
      <w:pPr>
        <w:pStyle w:val="FirstParagraph"/>
      </w:pPr>
      <w:r>
        <w:t xml:space="preserve">In the flow layer, the graph is interpreted as a capacitated transport network. Each edge</w:t>
      </w:r>
      <w:r>
        <w:t xml:space="preserve"> </w:t>
      </w:r>
      <m:oMath>
        <m:r>
          <m:rPr>
            <m:sty m:val="p"/>
          </m:rPr>
          <m:t>(</m:t>
        </m:r>
        <m:r>
          <m:t>u</m:t>
        </m:r>
        <m:r>
          <m:rPr>
            <m:sty m:val="p"/>
          </m:rPr>
          <m:t>,</m:t>
        </m:r>
        <m:r>
          <m:t>v</m:t>
        </m:r>
        <m:r>
          <m:rPr>
            <m:sty m:val="p"/>
          </m:rPr>
          <m:t>)</m:t>
        </m:r>
        <m:r>
          <m:rPr>
            <m:sty m:val="p"/>
          </m:rPr>
          <m:t>∈</m:t>
        </m:r>
        <m:r>
          <m:t>E</m:t>
        </m:r>
      </m:oMath>
      <w:r>
        <w:t xml:space="preserve"> </w:t>
      </w:r>
      <w:r>
        <w:t xml:space="preserve">may carry a non-negative capacity</w:t>
      </w:r>
    </w:p>
    <w:p>
      <w:pPr>
        <w:pStyle w:val="BodyText"/>
      </w:pPr>
      <m:oMathPara>
        <m:oMathParaPr>
          <m:jc m:val="center"/>
        </m:oMathParaPr>
        <m:oMath>
          <m:r>
            <m:t>c</m:t>
          </m:r>
          <m:r>
            <m:rPr>
              <m:sty m:val="p"/>
            </m:rPr>
            <m:t>:</m:t>
          </m:r>
          <m:r>
            <m:t>E</m:t>
          </m:r>
          <m:r>
            <m:rPr>
              <m:sty m:val="p"/>
            </m:rPr>
            <m:t>→</m:t>
          </m:r>
          <m:sSub>
            <m:e>
              <m:r>
                <m:rPr>
                  <m:scr m:val="double-struck"/>
                  <m:sty m:val="p"/>
                </m:rPr>
                <m:t>R</m:t>
              </m:r>
            </m:e>
            <m:sub>
              <m:r>
                <m:rPr>
                  <m:sty m:val="p"/>
                </m:rPr>
                <m:t>≥</m:t>
              </m:r>
              <m:r>
                <m:t>0</m:t>
              </m:r>
            </m:sub>
          </m:sSub>
          <m:r>
            <m:rPr>
              <m:sty m:val="p"/>
            </m:rPr>
            <m:t>,</m:t>
          </m:r>
        </m:oMath>
      </m:oMathPara>
    </w:p>
    <w:p>
      <w:pPr>
        <w:pStyle w:val="FirstParagraph"/>
      </w:pPr>
      <w:r>
        <w:t xml:space="preserve">where</w:t>
      </w:r>
      <w:r>
        <w:t xml:space="preserve"> </w:t>
      </w:r>
      <m:oMath>
        <m:sSub>
          <m:e>
            <m:r>
              <m:t>c</m:t>
            </m:r>
          </m:e>
          <m:sub>
            <m:r>
              <m:t>u</m:t>
            </m:r>
            <m:r>
              <m:t>v</m:t>
            </m:r>
          </m:sub>
        </m:sSub>
      </m:oMath>
      <w:r>
        <w:t xml:space="preserve"> </w:t>
      </w:r>
      <w:r>
        <w:t xml:space="preserve">is the maximum admissible throughput on edge</w:t>
      </w:r>
      <w:r>
        <w:t xml:space="preserve"> </w:t>
      </w:r>
      <m:oMath>
        <m:r>
          <m:rPr>
            <m:sty m:val="p"/>
          </m:rPr>
          <m:t>(</m:t>
        </m:r>
        <m:r>
          <m:t>u</m:t>
        </m:r>
        <m:r>
          <m:rPr>
            <m:sty m:val="p"/>
          </m:rPr>
          <m:t>,</m:t>
        </m:r>
        <m:r>
          <m:t>v</m:t>
        </m:r>
        <m:r>
          <m:rPr>
            <m:sty m:val="p"/>
          </m:rPr>
          <m:t>)</m:t>
        </m:r>
      </m:oMath>
      <w:r>
        <w:t xml:space="preserve">. When node throughput limits are modelled, each node</w:t>
      </w:r>
      <w:r>
        <w:t xml:space="preserve"> </w:t>
      </w:r>
      <m:oMath>
        <m:r>
          <m:t>v</m:t>
        </m:r>
        <m:r>
          <m:rPr>
            <m:sty m:val="p"/>
          </m:rPr>
          <m:t>∈</m:t>
        </m:r>
        <m:r>
          <m:t>V</m:t>
        </m:r>
      </m:oMath>
      <w:r>
        <w:t xml:space="preserve"> </w:t>
      </w:r>
      <w:r>
        <w:t xml:space="preserve">may also carry a capacity</w:t>
      </w:r>
    </w:p>
    <w:p>
      <w:pPr>
        <w:pStyle w:val="BodyText"/>
      </w:pPr>
      <m:oMathPara>
        <m:oMathParaPr>
          <m:jc m:val="center"/>
        </m:oMathParaPr>
        <m:oMath>
          <m:r>
            <m:t>b</m:t>
          </m:r>
          <m:r>
            <m:rPr>
              <m:sty m:val="p"/>
            </m:rPr>
            <m:t>:</m:t>
          </m:r>
          <m:r>
            <m:t>V</m:t>
          </m:r>
          <m:r>
            <m:rPr>
              <m:sty m:val="p"/>
            </m:rPr>
            <m:t>→</m:t>
          </m:r>
          <m:sSub>
            <m:e>
              <m:r>
                <m:rPr>
                  <m:scr m:val="double-struck"/>
                  <m:sty m:val="p"/>
                </m:rPr>
                <m:t>R</m:t>
              </m:r>
            </m:e>
            <m:sub>
              <m:r>
                <m:rPr>
                  <m:sty m:val="p"/>
                </m:rPr>
                <m:t>≥</m:t>
              </m:r>
              <m:r>
                <m:t>0</m:t>
              </m:r>
            </m:sub>
          </m:sSub>
          <m:r>
            <m:rPr>
              <m:sty m:val="p"/>
            </m:rPr>
            <m:t>,</m:t>
          </m:r>
        </m:oMath>
      </m:oMathPara>
    </w:p>
    <w:p>
      <w:pPr>
        <w:pStyle w:val="FirstParagraph"/>
      </w:pPr>
      <w:r>
        <w:t xml:space="preserve">where</w:t>
      </w:r>
      <w:r>
        <w:t xml:space="preserve"> </w:t>
      </w:r>
      <m:oMath>
        <m:sSub>
          <m:e>
            <m:r>
              <m:t>b</m:t>
            </m:r>
          </m:e>
          <m:sub>
            <m:r>
              <m:t>v</m:t>
            </m:r>
          </m:sub>
        </m:sSub>
      </m:oMath>
      <w:r>
        <w:t xml:space="preserve"> </w:t>
      </w:r>
      <w:r>
        <w:t xml:space="preserve">is the maximum admissible through-flow at node</w:t>
      </w:r>
      <w:r>
        <w:t xml:space="preserve"> </w:t>
      </w:r>
      <m:oMath>
        <m:r>
          <m:t>v</m:t>
        </m:r>
      </m:oMath>
      <w:r>
        <w:t xml:space="preserve">.</w:t>
      </w:r>
    </w:p>
    <w:p>
      <w:pPr>
        <w:pStyle w:val="BodyText"/>
      </w:pPr>
      <w:r>
        <w:t xml:space="preserve">Let</w:t>
      </w:r>
    </w:p>
    <w:p>
      <w:pPr>
        <w:pStyle w:val="BodyText"/>
      </w:pPr>
      <m:oMathPara>
        <m:oMathParaPr>
          <m:jc m:val="center"/>
        </m:oMathParaPr>
        <m:oMath>
          <m:r>
            <m:t>f</m:t>
          </m:r>
          <m:r>
            <m:rPr>
              <m:sty m:val="p"/>
            </m:rPr>
            <m:t>:</m:t>
          </m:r>
          <m:r>
            <m:t>E</m:t>
          </m:r>
          <m:r>
            <m:rPr>
              <m:sty m:val="p"/>
            </m:rPr>
            <m:t>→</m:t>
          </m:r>
          <m:sSub>
            <m:e>
              <m:r>
                <m:rPr>
                  <m:scr m:val="double-struck"/>
                  <m:sty m:val="p"/>
                </m:rPr>
                <m:t>R</m:t>
              </m:r>
            </m:e>
            <m:sub>
              <m:r>
                <m:rPr>
                  <m:sty m:val="p"/>
                </m:rPr>
                <m:t>≥</m:t>
              </m:r>
              <m:r>
                <m:t>0</m:t>
              </m:r>
            </m:sub>
          </m:sSub>
        </m:oMath>
      </m:oMathPara>
    </w:p>
    <w:p>
      <w:pPr>
        <w:pStyle w:val="FirstParagraph"/>
      </w:pPr>
      <w:r>
        <w:t xml:space="preserve">denote the edge-flow function, with</w:t>
      </w:r>
      <w:r>
        <w:t xml:space="preserve"> </w:t>
      </w:r>
      <m:oMath>
        <m:sSub>
          <m:e>
            <m:r>
              <m:t>f</m:t>
            </m:r>
          </m:e>
          <m:sub>
            <m:r>
              <m:t>u</m:t>
            </m:r>
            <m:r>
              <m:t>v</m:t>
            </m:r>
          </m:sub>
        </m:sSub>
        <m:box>
          <m:boxPr>
            <m:opEmu m:val="on"/>
          </m:boxPr>
          <m:e>
            <m:r>
              <m:rPr>
                <m:sty m:val="p"/>
              </m:rPr>
              <m:t>:=</m:t>
            </m:r>
          </m:e>
        </m:box>
        <m:r>
          <m:t>f</m:t>
        </m:r>
        <m:r>
          <m:rPr>
            <m:sty m:val="p"/>
          </m:rPr>
          <m:t>(</m:t>
        </m:r>
        <m:r>
          <m:rPr>
            <m:sty m:val="p"/>
          </m:rPr>
          <m:t>(</m:t>
        </m:r>
        <m:r>
          <m:t>u</m:t>
        </m:r>
        <m:r>
          <m:rPr>
            <m:sty m:val="p"/>
          </m:rPr>
          <m:t>,</m:t>
        </m:r>
        <m:r>
          <m:t>v</m:t>
        </m:r>
        <m:r>
          <m:rPr>
            <m:sty m:val="p"/>
          </m:rPr>
          <m:t>)</m:t>
        </m:r>
        <m:r>
          <m:rPr>
            <m:sty m:val="p"/>
          </m:rPr>
          <m:t>)</m:t>
        </m:r>
      </m:oMath>
      <w:r>
        <w:t xml:space="preserve"> </w:t>
      </w:r>
      <w:r>
        <w:t xml:space="preserve">for each</w:t>
      </w:r>
      <w:r>
        <w:t xml:space="preserve"> </w:t>
      </w:r>
      <m:oMath>
        <m:r>
          <m:rPr>
            <m:sty m:val="p"/>
          </m:rPr>
          <m:t>(</m:t>
        </m:r>
        <m:r>
          <m:t>u</m:t>
        </m:r>
        <m:r>
          <m:rPr>
            <m:sty m:val="p"/>
          </m:rPr>
          <m:t>,</m:t>
        </m:r>
        <m:r>
          <m:t>v</m:t>
        </m:r>
        <m:r>
          <m:rPr>
            <m:sty m:val="p"/>
          </m:rPr>
          <m:t>)</m:t>
        </m:r>
        <m:r>
          <m:rPr>
            <m:sty m:val="p"/>
          </m:rPr>
          <m:t>∈</m:t>
        </m:r>
        <m:r>
          <m:t>E</m:t>
        </m:r>
      </m:oMath>
      <w:r>
        <w:t xml:space="preserve">. For any node</w:t>
      </w:r>
      <w:r>
        <w:t xml:space="preserve"> </w:t>
      </w:r>
      <m:oMath>
        <m:r>
          <m:t>v</m:t>
        </m:r>
      </m:oMath>
      <w:r>
        <w:t xml:space="preserve">, define</w:t>
      </w:r>
    </w:p>
    <w:p>
      <w:pPr>
        <w:pStyle w:val="BodyText"/>
      </w:pPr>
      <m:oMathPara>
        <m:oMathParaPr>
          <m:jc m:val="center"/>
        </m:oMathParaPr>
        <m:oMath>
          <m:sSup>
            <m:e>
              <m:r>
                <m:t>δ</m:t>
              </m:r>
            </m:e>
            <m:sup>
              <m:r>
                <m:rPr>
                  <m:sty m:val="p"/>
                </m:rPr>
                <m:t>+</m:t>
              </m:r>
            </m:sup>
          </m:sSup>
          <m:r>
            <m:rPr>
              <m:sty m:val="p"/>
            </m:rPr>
            <m:t>(</m:t>
          </m:r>
          <m:r>
            <m:t>v</m:t>
          </m:r>
          <m:r>
            <m:rPr>
              <m:sty m:val="p"/>
            </m:rPr>
            <m:t>)</m:t>
          </m:r>
          <m:r>
            <m:rPr>
              <m:sty m:val="p"/>
            </m:rPr>
            <m:t>=</m:t>
          </m:r>
          <m:r>
            <m:rPr>
              <m:sty m:val="p"/>
            </m:rPr>
            <m:t>{</m:t>
          </m:r>
          <m:r>
            <m:rPr>
              <m:sty m:val="p"/>
            </m:rPr>
            <m:t>(</m:t>
          </m:r>
          <m:r>
            <m:t>v</m:t>
          </m:r>
          <m:r>
            <m:rPr>
              <m:sty m:val="p"/>
            </m:rPr>
            <m:t>,</m:t>
          </m:r>
          <m:r>
            <m:t>w</m:t>
          </m:r>
          <m:r>
            <m:rPr>
              <m:sty m:val="p"/>
            </m:rPr>
            <m:t>)</m:t>
          </m:r>
          <m:r>
            <m:rPr>
              <m:sty m:val="p"/>
            </m:rPr>
            <m:t>∈</m:t>
          </m:r>
          <m:r>
            <m:t>E</m:t>
          </m:r>
          <m:r>
            <m:rPr>
              <m:sty m:val="p"/>
            </m:rPr>
            <m:t>}</m:t>
          </m:r>
          <m:r>
            <m:rPr>
              <m:sty m:val="p"/>
            </m:rPr>
            <m:t>,</m:t>
          </m:r>
          <m:r>
            <m:t>  </m:t>
          </m:r>
          <m:sSup>
            <m:e>
              <m:r>
                <m:t>δ</m:t>
              </m:r>
            </m:e>
            <m:sup>
              <m:r>
                <m:rPr>
                  <m:sty m:val="p"/>
                </m:rPr>
                <m:t>−</m:t>
              </m:r>
            </m:sup>
          </m:sSup>
          <m:r>
            <m:rPr>
              <m:sty m:val="p"/>
            </m:rPr>
            <m:t>(</m:t>
          </m:r>
          <m:r>
            <m:t>v</m:t>
          </m:r>
          <m:r>
            <m:rPr>
              <m:sty m:val="p"/>
            </m:rPr>
            <m:t>)</m:t>
          </m:r>
          <m:r>
            <m:rPr>
              <m:sty m:val="p"/>
            </m:rPr>
            <m:t>=</m:t>
          </m:r>
          <m:r>
            <m:rPr>
              <m:sty m:val="p"/>
            </m:rPr>
            <m:t>{</m:t>
          </m:r>
          <m:r>
            <m:rPr>
              <m:sty m:val="p"/>
            </m:rPr>
            <m:t>(</m:t>
          </m:r>
          <m:r>
            <m:t>u</m:t>
          </m:r>
          <m:r>
            <m:rPr>
              <m:sty m:val="p"/>
            </m:rPr>
            <m:t>,</m:t>
          </m:r>
          <m:r>
            <m:t>v</m:t>
          </m:r>
          <m:r>
            <m:rPr>
              <m:sty m:val="p"/>
            </m:rPr>
            <m:t>)</m:t>
          </m:r>
          <m:r>
            <m:rPr>
              <m:sty m:val="p"/>
            </m:rPr>
            <m:t>∈</m:t>
          </m:r>
          <m:r>
            <m:t>E</m:t>
          </m:r>
          <m:r>
            <m:rPr>
              <m:sty m:val="p"/>
            </m:rPr>
            <m:t>}</m:t>
          </m:r>
        </m:oMath>
      </m:oMathPara>
    </w:p>
    <w:p>
      <w:pPr>
        <w:pStyle w:val="FirstParagraph"/>
      </w:pPr>
      <w:r>
        <w:t xml:space="preserve">as the outgoing and incoming edge sets.</w:t>
      </w:r>
    </w:p>
    <w:p>
      <w:pPr>
        <w:pStyle w:val="BodyText"/>
      </w:pPr>
      <w:r>
        <w:t xml:space="preserve">The primary flow quantity of interest is the maximum deliverable throughput from a source set to a sink set, subject to the active capacity constraints. In contrast to reachability, which asks whether a viable path exists, the flow module asks how much can be transported through the network.</w:t>
      </w:r>
    </w:p>
    <w:p>
      <w:pPr>
        <w:pStyle w:val="BodyText"/>
      </w:pPr>
      <w:r>
        <w:t xml:space="preserve">This distinction is important in practical infrastructure analysis. A network may remain reachable in the structural sense while still failing to satisfy demand because bottleneck edges or node-capacity constraints restrict throughput. Thus, a complete system assessment often requires both reachability and flow diagnostics.</w:t>
      </w:r>
    </w:p>
    <w:bookmarkEnd w:id="12"/>
    <w:bookmarkStart w:id="14" w:name="single-source-single-sink-flow-model"/>
    <w:p>
      <w:pPr>
        <w:pStyle w:val="Heading2"/>
      </w:pPr>
      <w:r>
        <w:rPr>
          <w:rStyle w:val="SectionNumber"/>
        </w:rPr>
        <w:t xml:space="preserve">2.4</w:t>
      </w:r>
      <w:r>
        <w:tab/>
      </w:r>
      <w:r>
        <w:t xml:space="preserve">Single-Source Single-Sink Flow Model</w:t>
      </w:r>
    </w:p>
    <w:p>
      <w:pPr>
        <w:pStyle w:val="FirstParagraph"/>
      </w:pPr>
      <w:r>
        <w:t xml:space="preserve">We first consider a base-case network with a single source node</w:t>
      </w:r>
      <w:r>
        <w:t xml:space="preserve"> </w:t>
      </w:r>
      <m:oMath>
        <m:r>
          <m:t>s</m:t>
        </m:r>
      </m:oMath>
      <w:r>
        <w:t xml:space="preserve"> </w:t>
      </w:r>
      <w:r>
        <w:t xml:space="preserve">and a single sink node</w:t>
      </w:r>
      <w:r>
        <w:t xml:space="preserve"> </w:t>
      </w:r>
      <m:oMath>
        <m:r>
          <m:t>t</m:t>
        </m:r>
      </m:oMath>
      <w:r>
        <w:t xml:space="preserve">, as shown in Figure </w:t>
      </w:r>
      <w:hyperlink w:anchor="fig:toy_siso_symbolic">
        <w:r>
          <w:rPr>
            <w:rStyle w:val="Hyperlink"/>
          </w:rPr>
          <w:t xml:space="preserve">4</w:t>
        </w:r>
      </w:hyperlink>
      <w:r>
        <w:t xml:space="preserve">. In this setting, the objective is to determine the maximum feasible throughput from</w:t>
      </w:r>
      <w:r>
        <w:t xml:space="preserve"> </w:t>
      </w:r>
      <m:oMath>
        <m:r>
          <m:t>s</m:t>
        </m:r>
      </m:oMath>
      <w:r>
        <w:t xml:space="preserve"> </w:t>
      </w:r>
      <w:r>
        <w:t xml:space="preserve">to</w:t>
      </w:r>
      <w:r>
        <w:t xml:space="preserve"> </w:t>
      </w:r>
      <m:oMath>
        <m:r>
          <m:t>t</m:t>
        </m:r>
      </m:oMath>
      <w:r>
        <w:t xml:space="preserve">.</w:t>
      </w:r>
    </w:p>
    <w:bookmarkStart w:id="13" w:name="fig:toy_siso_symbolic"/>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Minimal single-source single-sink capacitated DAG network.</w:t>
      </w:r>
    </w:p>
    <w:bookmarkEnd w:id="13"/>
    <w:p>
      <w:pPr>
        <w:pStyle w:val="BodyText"/>
      </w:pPr>
      <w:r>
        <w:t xml:space="preserve">Let</w:t>
      </w:r>
      <w:r>
        <w:t xml:space="preserve"> </w:t>
      </w:r>
      <m:oMath>
        <m:r>
          <m:t>F</m:t>
        </m:r>
        <m:r>
          <m:rPr>
            <m:sty m:val="p"/>
          </m:rPr>
          <m:t>∈</m:t>
        </m:r>
        <m:sSub>
          <m:e>
            <m:r>
              <m:rPr>
                <m:scr m:val="double-struck"/>
                <m:sty m:val="p"/>
              </m:rPr>
              <m:t>R</m:t>
            </m:r>
          </m:e>
          <m:sub>
            <m:r>
              <m:rPr>
                <m:sty m:val="p"/>
              </m:rPr>
              <m:t>≥</m:t>
            </m:r>
            <m:r>
              <m:t>0</m:t>
            </m:r>
          </m:sub>
        </m:sSub>
      </m:oMath>
      <w:r>
        <w:t xml:space="preserve"> </w:t>
      </w:r>
      <w:r>
        <w:t xml:space="preserve">denote the total delivered flow. The standard edge-capacitated max-flow problem is</w:t>
      </w:r>
    </w:p>
    <w:p>
      <w:pPr>
        <w:pStyle w:val="BodyText"/>
      </w:pPr>
      <m:oMathPara>
        <m:oMathParaPr>
          <m:jc m:val="center"/>
        </m:oMathParaPr>
        <m:oMath>
          <m:r>
            <m:rPr>
              <m:sty m:val="p"/>
            </m:rPr>
            <m:t>max</m:t>
          </m:r>
          <m:r>
            <m:t> </m:t>
          </m:r>
          <m:r>
            <m:t>F</m:t>
          </m:r>
        </m:oMath>
      </m:oMathPara>
    </w:p>
    <w:p>
      <w:pPr>
        <w:pStyle w:val="FirstParagraph"/>
      </w:pPr>
      <w:r>
        <w:t xml:space="preserve">subject to</w:t>
      </w:r>
    </w:p>
    <w:p>
      <w:pPr>
        <w:pStyle w:val="BodyText"/>
      </w:pPr>
      <m:oMathPara>
        <m:oMathParaPr>
          <m:jc m:val="center"/>
        </m:oMathParaPr>
        <m:oMath>
          <m:eqArr>
            <m:e>
              <m:r>
                <m:t>0</m:t>
              </m:r>
              <m:r>
                <m:rPr>
                  <m:sty m:val="p"/>
                </m:rPr>
                <m:t>≤</m:t>
              </m:r>
              <m:sSub>
                <m:e>
                  <m:r>
                    <m:t>f</m:t>
                  </m:r>
                </m:e>
                <m:sub>
                  <m:r>
                    <m:t>u</m:t>
                  </m:r>
                  <m:r>
                    <m:t>v</m:t>
                  </m:r>
                </m:sub>
              </m:sSub>
              <m:r>
                <m:rPr>
                  <m:sty m:val="p"/>
                </m:rPr>
                <m:t>≤</m:t>
              </m:r>
              <m:sSub>
                <m:e>
                  <m:r>
                    <m:t>c</m:t>
                  </m:r>
                </m:e>
                <m:sub>
                  <m:r>
                    <m:t>u</m:t>
                  </m:r>
                  <m:r>
                    <m:t>v</m:t>
                  </m:r>
                </m:sub>
              </m:sSub>
              <m:r>
                <m:rPr>
                  <m:sty m:val="p"/>
                </m:rPr>
                <m:t>,</m:t>
              </m:r>
              <m:r>
                <m:t>&amp;</m:t>
              </m:r>
              <m:r>
                <m:t>  </m:t>
              </m:r>
              <m:r>
                <m:rPr>
                  <m:sty m:val="p"/>
                </m:rPr>
                <m:t>∀</m:t>
              </m:r>
              <m:r>
                <m:rPr>
                  <m:sty m:val="p"/>
                </m:rPr>
                <m:t>(</m:t>
              </m:r>
              <m:r>
                <m:t>u</m:t>
              </m:r>
              <m:r>
                <m:rPr>
                  <m:sty m:val="p"/>
                </m:rPr>
                <m:t>,</m:t>
              </m:r>
              <m:r>
                <m:t>v</m:t>
              </m:r>
              <m:r>
                <m:rPr>
                  <m:sty m:val="p"/>
                </m:rPr>
                <m:t>)</m:t>
              </m:r>
              <m:r>
                <m:rPr>
                  <m:sty m:val="p"/>
                </m:rPr>
                <m:t>∈</m:t>
              </m:r>
              <m:r>
                <m:t>E</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r>
                <m:t>0</m:t>
              </m:r>
              <m:r>
                <m:rPr>
                  <m:sty m:val="p"/>
                </m:rPr>
                <m:t>,</m:t>
              </m:r>
              <m:r>
                <m:t>  </m:t>
              </m:r>
              <m:r>
                <m:rPr>
                  <m:sty m:val="p"/>
                </m:rPr>
                <m:t>∀</m:t>
              </m:r>
              <m:r>
                <m:t>v</m:t>
              </m:r>
              <m:r>
                <m:rPr>
                  <m:sty m:val="p"/>
                </m:rPr>
                <m:t>∈</m:t>
              </m:r>
              <m:r>
                <m:t>V</m:t>
              </m:r>
              <m:r>
                <m:rPr>
                  <m:sty m:val="p"/>
                </m:rPr>
                <m:t>\</m:t>
              </m:r>
              <m:r>
                <m:rPr>
                  <m:sty m:val="p"/>
                </m:rPr>
                <m:t>{</m:t>
              </m:r>
              <m:r>
                <m:t>s</m:t>
              </m:r>
              <m:r>
                <m:rPr>
                  <m:sty m:val="p"/>
                </m:rPr>
                <m:t>,</m:t>
              </m:r>
              <m:r>
                <m:t>t</m:t>
              </m:r>
              <m:r>
                <m:rPr>
                  <m:sty m:val="p"/>
                </m:rPr>
                <m:t>}</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t>&amp;</m:t>
              </m:r>
              <m:r>
                <m:rPr>
                  <m:sty m:val="p"/>
                </m:rPr>
                <m:t>=</m:t>
              </m:r>
              <m:r>
                <m:t>F</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t>&amp;</m:t>
              </m:r>
              <m:r>
                <m:rPr>
                  <m:sty m:val="p"/>
                </m:rPr>
                <m:t>=</m:t>
              </m:r>
              <m:r>
                <m:t>F</m:t>
              </m:r>
              <m:r>
                <m:rPr>
                  <m:sty m:val="p"/>
                </m:rPr>
                <m:t>.</m:t>
              </m:r>
            </m:e>
          </m:eqArr>
        </m:oMath>
      </m:oMathPara>
    </w:p>
    <w:p>
      <w:pPr>
        <w:pStyle w:val="FirstParagraph"/>
      </w:pPr>
      <w:r>
        <w:t xml:space="preserve">Let</w:t>
      </w:r>
      <w:r>
        <w:t xml:space="preserve"> </w:t>
      </w:r>
      <m:oMath>
        <m:sSup>
          <m:e>
            <m:r>
              <m:t>F</m:t>
            </m:r>
          </m:e>
          <m:sup>
            <m:r>
              <m:rPr>
                <m:sty m:val="p"/>
              </m:rPr>
              <m:t>⋆</m:t>
            </m:r>
          </m:sup>
        </m:sSup>
      </m:oMath>
      <w:r>
        <w:t xml:space="preserve"> </w:t>
      </w:r>
      <w:r>
        <w:t xml:space="preserve">denote the optimal value. If the sink has a required demand level</w:t>
      </w:r>
      <w:r>
        <w:t xml:space="preserve"> </w:t>
      </w:r>
      <m:oMath>
        <m:sSub>
          <m:e>
            <m:r>
              <m:t>D</m:t>
            </m:r>
          </m:e>
          <m:sub>
            <m:r>
              <m:t>t</m:t>
            </m:r>
          </m:sub>
        </m:sSub>
      </m:oMath>
      <w:r>
        <w:t xml:space="preserve">, the toolkit reports the throughput margin</w:t>
      </w:r>
    </w:p>
    <w:p>
      <w:pPr>
        <w:pStyle w:val="BodyText"/>
      </w:pPr>
      <m:oMathPara>
        <m:oMathParaPr>
          <m:jc m:val="center"/>
        </m:oMathParaPr>
        <m:oMath>
          <m:sSub>
            <m:e>
              <m:r>
                <m:rPr>
                  <m:sty m:val="p"/>
                </m:rPr>
                <m:t>Δ</m:t>
              </m:r>
            </m:e>
            <m:sub>
              <m:r>
                <m:t>t</m:t>
              </m:r>
            </m:sub>
          </m:sSub>
          <m:r>
            <m:rPr>
              <m:sty m:val="p"/>
            </m:rPr>
            <m:t>=</m:t>
          </m:r>
          <m:sSup>
            <m:e>
              <m:r>
                <m:t>F</m:t>
              </m:r>
            </m:e>
            <m:sup>
              <m:r>
                <m:rPr>
                  <m:sty m:val="p"/>
                </m:rPr>
                <m:t>⋆</m:t>
              </m:r>
            </m:sup>
          </m:sSup>
          <m:r>
            <m:rPr>
              <m:sty m:val="p"/>
            </m:rPr>
            <m:t>−</m:t>
          </m:r>
          <m:sSub>
            <m:e>
              <m:r>
                <m:t>D</m:t>
              </m:r>
            </m:e>
            <m:sub>
              <m:r>
                <m:t>t</m:t>
              </m:r>
            </m:sub>
          </m:sSub>
          <m:r>
            <m:rPr>
              <m:sty m:val="p"/>
            </m:rPr>
            <m:t>,</m:t>
          </m:r>
        </m:oMath>
      </m:oMathPara>
    </w:p>
    <w:p>
      <w:pPr>
        <w:pStyle w:val="FirstParagraph"/>
      </w:pPr>
      <w:r>
        <w:t xml:space="preserve">so that</w:t>
      </w:r>
      <w:r>
        <w:t xml:space="preserve"> </w:t>
      </w:r>
      <m:oMath>
        <m:sSub>
          <m:e>
            <m:r>
              <m:rPr>
                <m:sty m:val="p"/>
              </m:rPr>
              <m:t>Δ</m:t>
            </m:r>
          </m:e>
          <m:sub>
            <m:r>
              <m:t>t</m:t>
            </m:r>
          </m:sub>
        </m:sSub>
        <m:r>
          <m:rPr>
            <m:sty m:val="p"/>
          </m:rPr>
          <m:t>≥</m:t>
        </m:r>
        <m:r>
          <m:t>0</m:t>
        </m:r>
      </m:oMath>
      <w:r>
        <w:t xml:space="preserve"> </w:t>
      </w:r>
      <w:r>
        <w:t xml:space="preserve">indicates demand satisfaction with residual margin, whereas</w:t>
      </w:r>
      <w:r>
        <w:t xml:space="preserve"> </w:t>
      </w:r>
      <m:oMath>
        <m:sSub>
          <m:e>
            <m:r>
              <m:rPr>
                <m:sty m:val="p"/>
              </m:rPr>
              <m:t>Δ</m:t>
            </m:r>
          </m:e>
          <m:sub>
            <m:r>
              <m:t>t</m:t>
            </m:r>
          </m:sub>
        </m:sSub>
        <m:r>
          <m:rPr>
            <m:sty m:val="p"/>
          </m:rPr>
          <m:t>&lt;</m:t>
        </m:r>
        <m:r>
          <m:t>0</m:t>
        </m:r>
      </m:oMath>
      <w:r>
        <w:t xml:space="preserve"> </w:t>
      </w:r>
      <w:r>
        <w:t xml:space="preserve">indicates a shortfall of</w:t>
      </w:r>
      <w:r>
        <w:t xml:space="preserve"> </w:t>
      </w:r>
      <m:oMath>
        <m:r>
          <m:rPr>
            <m:sty m:val="p"/>
          </m:rPr>
          <m:t>|</m:t>
        </m:r>
        <m:sSub>
          <m:e>
            <m:r>
              <m:rPr>
                <m:sty m:val="p"/>
              </m:rPr>
              <m:t>Δ</m:t>
            </m:r>
          </m:e>
          <m:sub>
            <m:r>
              <m:t>t</m:t>
            </m:r>
          </m:sub>
        </m:sSub>
        <m:r>
          <m:rPr>
            <m:sty m:val="p"/>
          </m:rPr>
          <m:t>|</m:t>
        </m:r>
      </m:oMath>
      <w:r>
        <w:t xml:space="preserve">.</w:t>
      </w:r>
    </w:p>
    <w:bookmarkEnd w:id="14"/>
    <w:bookmarkStart w:id="16" w:name="multi-source-multi-sink-reduction"/>
    <w:p>
      <w:pPr>
        <w:pStyle w:val="Heading2"/>
      </w:pPr>
      <w:r>
        <w:rPr>
          <w:rStyle w:val="SectionNumber"/>
        </w:rPr>
        <w:t xml:space="preserve">2.5</w:t>
      </w:r>
      <w:r>
        <w:tab/>
      </w:r>
      <w:r>
        <w:t xml:space="preserve">Multi-Source Multi-Sink Reduction</w:t>
      </w:r>
    </w:p>
    <w:p>
      <w:pPr>
        <w:pStyle w:val="FirstParagraph"/>
      </w:pPr>
      <w:r>
        <w:t xml:space="preserve">Real engineering networks often contain multiple origins and multiple demand nodes. To handle such models computationally, the toolkit reduces a multi-source multi-sink problem to an equivalent single-source single-sink problem by introducing a super-source</w:t>
      </w:r>
      <w:r>
        <w:t xml:space="preserve"> </w:t>
      </w:r>
      <m:oMath>
        <m:sSup>
          <m:e>
            <m:r>
              <m:t>s</m:t>
            </m:r>
          </m:e>
          <m:sup>
            <m:r>
              <m:rPr>
                <m:sty m:val="p"/>
              </m:rPr>
              <m:t>⋆</m:t>
            </m:r>
          </m:sup>
        </m:sSup>
      </m:oMath>
      <w:r>
        <w:t xml:space="preserve"> </w:t>
      </w:r>
      <w:r>
        <w:t xml:space="preserve">and a super-sink</w:t>
      </w:r>
      <w:r>
        <w:t xml:space="preserve"> </w:t>
      </w:r>
      <m:oMath>
        <m:sSup>
          <m:e>
            <m:r>
              <m:t>t</m:t>
            </m:r>
          </m:e>
          <m:sup>
            <m:r>
              <m:rPr>
                <m:sty m:val="p"/>
              </m:rPr>
              <m:t>⋆</m:t>
            </m:r>
          </m:sup>
        </m:sSup>
      </m:oMath>
      <w:r>
        <w:t xml:space="preserve">.</w:t>
      </w:r>
    </w:p>
    <w:p>
      <w:pPr>
        <w:pStyle w:val="BodyText"/>
      </w:pPr>
      <w:r>
        <w:t xml:space="preserve">Let the source set be</w:t>
      </w:r>
      <w:r>
        <w:t xml:space="preserve"> </w:t>
      </w:r>
      <m:oMath>
        <m:r>
          <m:t>S</m:t>
        </m:r>
        <m:r>
          <m:rPr>
            <m:sty m:val="p"/>
          </m:rPr>
          <m:t>⊆</m:t>
        </m:r>
        <m:r>
          <m:t>V</m:t>
        </m:r>
      </m:oMath>
      <w:r>
        <w:t xml:space="preserve"> </w:t>
      </w:r>
      <w:r>
        <w:t xml:space="preserve">and the sink set be</w:t>
      </w:r>
      <w:r>
        <w:t xml:space="preserve"> </w:t>
      </w:r>
      <m:oMath>
        <m:r>
          <m:t>T</m:t>
        </m:r>
        <m:r>
          <m:rPr>
            <m:sty m:val="p"/>
          </m:rPr>
          <m:t>⊆</m:t>
        </m:r>
        <m:r>
          <m:t>V</m:t>
        </m:r>
      </m:oMath>
      <w:r>
        <w:t xml:space="preserve">, with</w:t>
      </w:r>
      <w:r>
        <w:t xml:space="preserve"> </w:t>
      </w:r>
      <m:oMath>
        <m:r>
          <m:rPr>
            <m:sty m:val="p"/>
          </m:rPr>
          <m:t>|</m:t>
        </m:r>
        <m:r>
          <m:t>S</m:t>
        </m:r>
        <m:r>
          <m:rPr>
            <m:sty m:val="p"/>
          </m:rPr>
          <m:t>|</m:t>
        </m:r>
        <m:r>
          <m:rPr>
            <m:sty m:val="p"/>
          </m:rPr>
          <m:t>≥</m:t>
        </m:r>
        <m:r>
          <m:t>1</m:t>
        </m:r>
      </m:oMath>
      <w:r>
        <w:t xml:space="preserve"> </w:t>
      </w:r>
      <w:r>
        <w:t xml:space="preserve">and</w:t>
      </w:r>
      <w:r>
        <w:t xml:space="preserve"> </w:t>
      </w:r>
      <m:oMath>
        <m:r>
          <m:rPr>
            <m:sty m:val="p"/>
          </m:rPr>
          <m:t>|</m:t>
        </m:r>
        <m:r>
          <m:t>T</m:t>
        </m:r>
        <m:r>
          <m:rPr>
            <m:sty m:val="p"/>
          </m:rPr>
          <m:t>|</m:t>
        </m:r>
        <m:r>
          <m:rPr>
            <m:sty m:val="p"/>
          </m:rPr>
          <m:t>≥</m:t>
        </m:r>
        <m:r>
          <m:t>1</m:t>
        </m:r>
      </m:oMath>
      <w:r>
        <w:t xml:space="preserve">. Figure </w:t>
      </w:r>
      <w:hyperlink w:anchor="fig:msss_reduction">
        <w:r>
          <w:rPr>
            <w:rStyle w:val="Hyperlink"/>
          </w:rPr>
          <w:t xml:space="preserve">2</w:t>
        </w:r>
      </w:hyperlink>
      <w:r>
        <w:t xml:space="preserve"> </w:t>
      </w:r>
      <w:r>
        <w:t xml:space="preserve">illustrates the reduction.</w:t>
      </w:r>
    </w:p>
    <w:p>
      <w:pPr>
        <w:pStyle w:val="BodyText"/>
      </w:pPr>
      <w:r>
        <w:t xml:space="preserve">The reduced graph is</w:t>
      </w:r>
    </w:p>
    <w:p>
      <w:pPr>
        <w:pStyle w:val="BodyText"/>
      </w:pPr>
      <m:oMathPara>
        <m:oMathParaPr>
          <m:jc m:val="center"/>
        </m:oMathParaPr>
        <m:oMath>
          <m:sSup>
            <m:e>
              <m:r>
                <m:t>V</m:t>
              </m:r>
            </m:e>
            <m:sup>
              <m:r>
                <m:rPr>
                  <m:sty m:val="p"/>
                </m:rPr>
                <m:t>′</m:t>
              </m:r>
            </m:sup>
          </m:sSup>
          <m:r>
            <m:rPr>
              <m:sty m:val="p"/>
            </m:rPr>
            <m:t>=</m:t>
          </m:r>
          <m:r>
            <m:t>V</m:t>
          </m:r>
          <m:r>
            <m:rPr>
              <m:sty m:val="p"/>
            </m:rPr>
            <m:t>∪</m:t>
          </m:r>
          <m:r>
            <m:rPr>
              <m:sty m:val="p"/>
            </m:rPr>
            <m:t>{</m:t>
          </m:r>
          <m:sSup>
            <m:e>
              <m:r>
                <m:t>s</m:t>
              </m:r>
            </m:e>
            <m:sup>
              <m:r>
                <m:rPr>
                  <m:sty m:val="p"/>
                </m:rPr>
                <m:t>⋆</m:t>
              </m:r>
            </m:sup>
          </m:sSup>
          <m:r>
            <m:rPr>
              <m:sty m:val="p"/>
            </m:rPr>
            <m:t>,</m:t>
          </m:r>
          <m:sSup>
            <m:e>
              <m:r>
                <m:t>t</m:t>
              </m:r>
            </m:e>
            <m:sup>
              <m:r>
                <m:rPr>
                  <m:sty m:val="p"/>
                </m:rPr>
                <m:t>⋆</m:t>
              </m:r>
            </m:sup>
          </m:sSup>
          <m:r>
            <m:rPr>
              <m:sty m:val="p"/>
            </m:rPr>
            <m:t>}</m:t>
          </m:r>
          <m:r>
            <m:rPr>
              <m:sty m:val="p"/>
            </m:rPr>
            <m:t>,</m:t>
          </m:r>
        </m:oMath>
      </m:oMathPara>
    </w:p>
    <w:p>
      <w:pPr>
        <w:pStyle w:val="FirstParagraph"/>
      </w:pPr>
      <m:oMathPara>
        <m:oMathParaPr>
          <m:jc m:val="center"/>
        </m:oMathParaPr>
        <m:oMath>
          <m:sSup>
            <m:e>
              <m:r>
                <m:t>E</m:t>
              </m:r>
            </m:e>
            <m:sup>
              <m:r>
                <m:rPr>
                  <m:sty m:val="p"/>
                </m:rPr>
                <m:t>′</m:t>
              </m:r>
            </m:sup>
          </m:sSup>
          <m:r>
            <m:rPr>
              <m:sty m:val="p"/>
            </m:rPr>
            <m:t>=</m:t>
          </m:r>
          <m:r>
            <m:t>E</m:t>
          </m:r>
          <m:r>
            <m:rPr>
              <m:sty m:val="p"/>
            </m:rPr>
            <m:t>∪</m:t>
          </m:r>
          <m:r>
            <m:rPr>
              <m:sty m:val="p"/>
            </m:rPr>
            <m:t>{</m:t>
          </m:r>
          <m:r>
            <m:rPr>
              <m:sty m:val="p"/>
            </m:rPr>
            <m:t>(</m:t>
          </m:r>
          <m:sSup>
            <m:e>
              <m:r>
                <m:t>s</m:t>
              </m:r>
            </m:e>
            <m:sup>
              <m:r>
                <m:rPr>
                  <m:sty m:val="p"/>
                </m:rPr>
                <m:t>⋆</m:t>
              </m:r>
            </m:sup>
          </m:sSup>
          <m:r>
            <m:rPr>
              <m:sty m:val="p"/>
            </m:rPr>
            <m:t>,</m:t>
          </m:r>
          <m:r>
            <m:t>s</m:t>
          </m:r>
          <m:r>
            <m:rPr>
              <m:sty m:val="p"/>
            </m:rPr>
            <m:t>)</m:t>
          </m:r>
          <m:r>
            <m:rPr>
              <m:sty m:val="p"/>
            </m:rPr>
            <m:t>:</m:t>
          </m:r>
          <m:r>
            <m:t>s</m:t>
          </m:r>
          <m:r>
            <m:rPr>
              <m:sty m:val="p"/>
            </m:rPr>
            <m:t>∈</m:t>
          </m:r>
          <m:r>
            <m:t>S</m:t>
          </m:r>
          <m:r>
            <m:rPr>
              <m:sty m:val="p"/>
            </m:rPr>
            <m:t>}</m:t>
          </m:r>
          <m:r>
            <m:rPr>
              <m:sty m:val="p"/>
            </m:rPr>
            <m:t>∪</m:t>
          </m:r>
          <m:r>
            <m:rPr>
              <m:sty m:val="p"/>
            </m:rPr>
            <m:t>{</m:t>
          </m:r>
          <m:r>
            <m:rPr>
              <m:sty m:val="p"/>
            </m:rPr>
            <m:t>(</m:t>
          </m:r>
          <m:r>
            <m:t>t</m:t>
          </m:r>
          <m:r>
            <m:rPr>
              <m:sty m:val="p"/>
            </m:rPr>
            <m:t>,</m:t>
          </m:r>
          <m:sSup>
            <m:e>
              <m:r>
                <m:t>t</m:t>
              </m:r>
            </m:e>
            <m:sup>
              <m:r>
                <m:rPr>
                  <m:sty m:val="p"/>
                </m:rPr>
                <m:t>⋆</m:t>
              </m:r>
            </m:sup>
          </m:sSup>
          <m:r>
            <m:rPr>
              <m:sty m:val="p"/>
            </m:rPr>
            <m:t>)</m:t>
          </m:r>
          <m:r>
            <m:rPr>
              <m:sty m:val="p"/>
            </m:rPr>
            <m:t>:</m:t>
          </m:r>
          <m:r>
            <m:t>t</m:t>
          </m:r>
          <m:r>
            <m:rPr>
              <m:sty m:val="p"/>
            </m:rPr>
            <m:t>∈</m:t>
          </m:r>
          <m:r>
            <m:t>T</m:t>
          </m:r>
          <m:r>
            <m:rPr>
              <m:sty m:val="p"/>
            </m:rPr>
            <m:t>}</m:t>
          </m:r>
          <m:r>
            <m:rPr>
              <m:sty m:val="p"/>
            </m:rPr>
            <m:t>.</m:t>
          </m:r>
        </m:oMath>
      </m:oMathPara>
    </w:p>
    <w:p>
      <w:pPr>
        <w:pStyle w:val="FirstParagraph"/>
      </w:pPr>
      <w:r>
        <w:t xml:space="preserve">The connector capacities are chosen to be non-binding:</w:t>
      </w:r>
    </w:p>
    <w:p>
      <w:pPr>
        <w:pStyle w:val="BodyText"/>
      </w:pPr>
      <m:oMathPara>
        <m:oMathParaPr>
          <m:jc m:val="center"/>
        </m:oMathParaPr>
        <m:oMath>
          <m:sSub>
            <m:e>
              <m:r>
                <m:t>c</m:t>
              </m:r>
            </m:e>
            <m:sub>
              <m:sSup>
                <m:e>
                  <m:r>
                    <m:t>s</m:t>
                  </m:r>
                </m:e>
                <m:sup>
                  <m:r>
                    <m:rPr>
                      <m:sty m:val="p"/>
                    </m:rPr>
                    <m:t>⋆</m:t>
                  </m:r>
                </m:sup>
              </m:sSup>
              <m:r>
                <m:t>s</m:t>
              </m:r>
            </m:sub>
          </m:sSub>
          <m:r>
            <m:rPr>
              <m:sty m:val="p"/>
            </m:rPr>
            <m:t>=</m:t>
          </m:r>
          <m:r>
            <m:rPr>
              <m:sty m:val="p"/>
            </m:rPr>
            <m:t>+</m:t>
          </m:r>
          <m:r>
            <m:rPr>
              <m:sty m:val="p"/>
            </m:rPr>
            <m:t>∞</m:t>
          </m:r>
          <m:r>
            <m:t> </m:t>
          </m:r>
          <m:r>
            <m:rPr>
              <m:sty m:val="p"/>
            </m:rPr>
            <m:t>∀</m:t>
          </m:r>
          <m:r>
            <m:t>s</m:t>
          </m:r>
          <m:r>
            <m:rPr>
              <m:sty m:val="p"/>
            </m:rPr>
            <m:t>∈</m:t>
          </m:r>
          <m:r>
            <m:t>S</m:t>
          </m:r>
          <m:r>
            <m:rPr>
              <m:sty m:val="p"/>
            </m:rPr>
            <m:t>,</m:t>
          </m:r>
          <m:r>
            <m:t>  </m:t>
          </m:r>
          <m:sSub>
            <m:e>
              <m:r>
                <m:t>c</m:t>
              </m:r>
            </m:e>
            <m:sub>
              <m:r>
                <m:t>t</m:t>
              </m:r>
              <m:sSup>
                <m:e>
                  <m:r>
                    <m:t>t</m:t>
                  </m:r>
                </m:e>
                <m:sup>
                  <m:r>
                    <m:rPr>
                      <m:sty m:val="p"/>
                    </m:rPr>
                    <m:t>⋆</m:t>
                  </m:r>
                </m:sup>
              </m:sSup>
            </m:sub>
          </m:sSub>
          <m:r>
            <m:rPr>
              <m:sty m:val="p"/>
            </m:rPr>
            <m:t>=</m:t>
          </m:r>
          <m:r>
            <m:rPr>
              <m:sty m:val="p"/>
            </m:rPr>
            <m:t>+</m:t>
          </m:r>
          <m:r>
            <m:rPr>
              <m:sty m:val="p"/>
            </m:rPr>
            <m:t>∞</m:t>
          </m:r>
          <m:r>
            <m:t> </m:t>
          </m:r>
          <m:r>
            <m:rPr>
              <m:sty m:val="p"/>
            </m:rPr>
            <m:t>∀</m:t>
          </m:r>
          <m:r>
            <m:t>t</m:t>
          </m:r>
          <m:r>
            <m:rPr>
              <m:sty m:val="p"/>
            </m:rPr>
            <m:t>∈</m:t>
          </m:r>
          <m:r>
            <m:t>T</m:t>
          </m:r>
          <m:r>
            <m:rPr>
              <m:sty m:val="p"/>
            </m:rPr>
            <m:t>.</m:t>
          </m:r>
        </m:oMath>
      </m:oMathPara>
    </w:p>
    <w:bookmarkStart w:id="15" w:name="fig:msss_reduction"/>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Original multi-source multi-sink network.</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Equivalent super-source/super-sink reduction.</w:t>
            </w:r>
          </w:p>
        </w:tc>
      </w:tr>
    </w:tbl>
    <w:p>
      <w:pPr>
        <w:pStyle w:val="ImageCaption"/>
      </w:pPr>
      <w:r>
        <w:t xml:space="preserve">Reduction of a multi-source multi-sink capacitated DAG to an equivalent single-source single-sink max-flow problem.</w:t>
      </w:r>
    </w:p>
    <w:bookmarkEnd w:id="15"/>
    <w:p>
      <w:pPr>
        <w:pStyle w:val="BodyText"/>
      </w:pPr>
      <w:r>
        <w:t xml:space="preserve">The optimal value of the multi-source multi-sink max-flow problem on</w:t>
      </w:r>
      <w:r>
        <w:t xml:space="preserve"> </w:t>
      </w:r>
      <m:oMath>
        <m:r>
          <m:t>G</m:t>
        </m:r>
      </m:oMath>
      <w:r>
        <w:t xml:space="preserve"> </w:t>
      </w:r>
      <w:r>
        <w:t xml:space="preserve">is equal to the optimal value of the single-source single-sink max-flow problem on the reduced graph</w:t>
      </w:r>
      <w:r>
        <w:t xml:space="preserve"> </w:t>
      </w:r>
      <m:oMath>
        <m:sSup>
          <m:e>
            <m:r>
              <m:t>G</m:t>
            </m:r>
          </m:e>
          <m:sup>
            <m:r>
              <m:rPr>
                <m:sty m:val="p"/>
              </m:rPr>
              <m:t>′</m:t>
            </m:r>
          </m:sup>
        </m:sSup>
        <m:r>
          <m:rPr>
            <m:sty m:val="p"/>
          </m:rPr>
          <m:t>=</m:t>
        </m:r>
        <m:r>
          <m:rPr>
            <m:sty m:val="p"/>
          </m:rPr>
          <m:t>(</m:t>
        </m:r>
        <m:sSup>
          <m:e>
            <m:r>
              <m:t>V</m:t>
            </m:r>
          </m:e>
          <m:sup>
            <m:r>
              <m:rPr>
                <m:sty m:val="p"/>
              </m:rPr>
              <m:t>′</m:t>
            </m:r>
          </m:sup>
        </m:sSup>
        <m:r>
          <m:rPr>
            <m:sty m:val="p"/>
          </m:rPr>
          <m:t>,</m:t>
        </m:r>
        <m:sSup>
          <m:e>
            <m:r>
              <m:t>E</m:t>
            </m:r>
          </m:e>
          <m:sup>
            <m:r>
              <m:rPr>
                <m:sty m:val="p"/>
              </m:rPr>
              <m:t>′</m:t>
            </m:r>
          </m:sup>
        </m:sSup>
        <m:r>
          <m:rPr>
            <m:sty m:val="p"/>
          </m:rPr>
          <m:t>)</m:t>
        </m:r>
      </m:oMath>
      <w:r>
        <w:t xml:space="preserve"> </w:t>
      </w:r>
      <w:r>
        <w:t xml:space="preserve">with terminals</w:t>
      </w:r>
      <w:r>
        <w:t xml:space="preserve"> </w:t>
      </w:r>
      <m:oMath>
        <m:sSup>
          <m:e>
            <m:r>
              <m:t>s</m:t>
            </m:r>
          </m:e>
          <m:sup>
            <m:r>
              <m:rPr>
                <m:sty m:val="p"/>
              </m:rPr>
              <m:t>⋆</m:t>
            </m:r>
          </m:sup>
        </m:sSup>
      </m:oMath>
      <w:r>
        <w:t xml:space="preserve"> </w:t>
      </w:r>
      <w:r>
        <w:t xml:space="preserve">and</w:t>
      </w:r>
      <w:r>
        <w:t xml:space="preserve"> </w:t>
      </w:r>
      <m:oMath>
        <m:sSup>
          <m:e>
            <m:r>
              <m:t>t</m:t>
            </m:r>
          </m:e>
          <m:sup>
            <m:r>
              <m:rPr>
                <m:sty m:val="p"/>
              </m:rPr>
              <m:t>⋆</m:t>
            </m:r>
          </m:sup>
        </m:sSup>
      </m:oMath>
      <w:r>
        <w:t xml:space="preserve">.</w:t>
      </w:r>
    </w:p>
    <w:p>
      <w:pPr>
        <w:pStyle w:val="BodyText"/>
      </w:pPr>
      <w:r>
        <w:rPr>
          <w:i/>
          <w:iCs/>
        </w:rPr>
        <w:t xml:space="preserve">Proof.</w:t>
      </w:r>
      <w:r>
        <w:t xml:space="preserve"> </w:t>
      </w:r>
      <w:r>
        <w:t xml:space="preserve">Let</w:t>
      </w:r>
      <w:r>
        <w:t xml:space="preserve"> </w:t>
      </w:r>
      <m:oMath>
        <m:r>
          <m:t>f</m:t>
        </m:r>
      </m:oMath>
      <w:r>
        <w:t xml:space="preserve"> </w:t>
      </w:r>
      <w:r>
        <w:t xml:space="preserve">be any feasible flow for the original multi-terminal problem with total value</w:t>
      </w:r>
      <w:r>
        <w:t xml:space="preserve"> </w:t>
      </w:r>
      <m:oMath>
        <m:r>
          <m:t>F</m:t>
        </m:r>
      </m:oMath>
      <w:r>
        <w:t xml:space="preserve">. Define an augmented flow</w:t>
      </w:r>
      <w:r>
        <w:t xml:space="preserve"> </w:t>
      </w:r>
      <m:oMath>
        <m:sSup>
          <m:e>
            <m:r>
              <m:t>f</m:t>
            </m:r>
          </m:e>
          <m:sup>
            <m:r>
              <m:rPr>
                <m:sty m:val="p"/>
              </m:rPr>
              <m:t>′</m:t>
            </m:r>
          </m:sup>
        </m:sSup>
      </m:oMath>
      <w:r>
        <w:t xml:space="preserve"> </w:t>
      </w:r>
      <w:r>
        <w:t xml:space="preserve">on</w:t>
      </w:r>
      <w:r>
        <w:t xml:space="preserve"> </w:t>
      </w:r>
      <m:oMath>
        <m:sSup>
          <m:e>
            <m:r>
              <m:t>G</m:t>
            </m:r>
          </m:e>
          <m:sup>
            <m:r>
              <m:rPr>
                <m:sty m:val="p"/>
              </m:rPr>
              <m:t>′</m:t>
            </m:r>
          </m:sup>
        </m:sSup>
      </m:oMath>
      <w:r>
        <w:t xml:space="preserve"> </w:t>
      </w:r>
      <w:r>
        <w:t xml:space="preserve">by retaining the values of</w:t>
      </w:r>
      <w:r>
        <w:t xml:space="preserve"> </w:t>
      </w:r>
      <m:oMath>
        <m:r>
          <m:t>f</m:t>
        </m:r>
      </m:oMath>
      <w:r>
        <w:t xml:space="preserve"> </w:t>
      </w:r>
      <w:r>
        <w:t xml:space="preserve">on all original edges and setting</w:t>
      </w:r>
    </w:p>
    <w:p>
      <w:pPr>
        <w:pStyle w:val="BodyText"/>
      </w:pPr>
      <m:oMathPara>
        <m:oMathParaPr>
          <m:jc m:val="center"/>
        </m:oMathParaPr>
        <m:oMath>
          <m:sSubSup>
            <m:e>
              <m:r>
                <m:t>f</m:t>
              </m:r>
            </m:e>
            <m:sub>
              <m:sSup>
                <m:e>
                  <m:r>
                    <m:t>s</m:t>
                  </m:r>
                </m:e>
                <m:sup>
                  <m:r>
                    <m:rPr>
                      <m:sty m:val="p"/>
                    </m:rPr>
                    <m:t>⋆</m:t>
                  </m:r>
                </m:sup>
              </m:sSup>
              <m:r>
                <m:t>s</m:t>
              </m:r>
            </m:sub>
            <m:sup>
              <m:r>
                <m:rPr>
                  <m:sty m:val="p"/>
                </m:rPr>
                <m:t>′</m:t>
              </m:r>
            </m:sup>
          </m:sSubSup>
          <m:box>
            <m:boxPr>
              <m:opEmu m:val="on"/>
            </m:boxPr>
            <m:e>
              <m:r>
                <m:rPr>
                  <m:sty m:val="p"/>
                </m:rPr>
                <m:t>:=</m:t>
              </m:r>
            </m:e>
          </m:box>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t>  </m:t>
          </m:r>
          <m:r>
            <m:rPr>
              <m:sty m:val="p"/>
            </m:rPr>
            <m:t>∀</m:t>
          </m:r>
          <m:r>
            <m:t>s</m:t>
          </m:r>
          <m:r>
            <m:rPr>
              <m:sty m:val="p"/>
            </m:rPr>
            <m:t>∈</m:t>
          </m:r>
          <m:r>
            <m:t>S</m:t>
          </m:r>
          <m:r>
            <m:rPr>
              <m:sty m:val="p"/>
            </m:rPr>
            <m:t>,</m:t>
          </m:r>
        </m:oMath>
      </m:oMathPara>
    </w:p>
    <w:p>
      <w:pPr>
        <w:pStyle w:val="FirstParagraph"/>
      </w:pPr>
      <w:r>
        <w:t xml:space="preserve">and</w:t>
      </w:r>
    </w:p>
    <w:p>
      <w:pPr>
        <w:pStyle w:val="BodyText"/>
      </w:pPr>
      <m:oMathPara>
        <m:oMathParaPr>
          <m:jc m:val="center"/>
        </m:oMathParaPr>
        <m:oMath>
          <m:sSubSup>
            <m:e>
              <m:r>
                <m:t>f</m:t>
              </m:r>
            </m:e>
            <m:sub>
              <m:r>
                <m:t>t</m:t>
              </m:r>
              <m:sSup>
                <m:e>
                  <m:r>
                    <m:t>t</m:t>
                  </m:r>
                </m:e>
                <m:sup>
                  <m:r>
                    <m:rPr>
                      <m:sty m:val="p"/>
                    </m:rPr>
                    <m:t>⋆</m:t>
                  </m:r>
                </m:sup>
              </m:sSup>
            </m:sub>
            <m:sup>
              <m:r>
                <m:rPr>
                  <m:sty m:val="p"/>
                </m:rPr>
                <m:t>′</m:t>
              </m:r>
            </m:sup>
          </m:sSubSup>
          <m:box>
            <m:boxPr>
              <m:opEmu m:val="on"/>
            </m:boxPr>
            <m:e>
              <m:r>
                <m:rPr>
                  <m:sty m:val="p"/>
                </m:rPr>
                <m:t>:=</m:t>
              </m:r>
            </m:e>
          </m:box>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t>  </m:t>
          </m:r>
          <m:r>
            <m:rPr>
              <m:sty m:val="p"/>
            </m:rPr>
            <m:t>∀</m:t>
          </m:r>
          <m:r>
            <m:t>t</m:t>
          </m:r>
          <m:r>
            <m:rPr>
              <m:sty m:val="p"/>
            </m:rPr>
            <m:t>∈</m:t>
          </m:r>
          <m:r>
            <m:t>T</m:t>
          </m:r>
          <m:r>
            <m:rPr>
              <m:sty m:val="p"/>
            </m:rPr>
            <m:t>.</m:t>
          </m:r>
        </m:oMath>
      </m:oMathPara>
    </w:p>
    <w:p>
      <w:pPr>
        <w:pStyle w:val="FirstParagraph"/>
      </w:pPr>
      <w:r>
        <w:t xml:space="preserve">Because the connector edges are non-binding, all capacity constraints remain satisfied. Flow conservation holds at every internal node, while the net outflow from</w:t>
      </w:r>
      <w:r>
        <w:t xml:space="preserve"> </w:t>
      </w:r>
      <m:oMath>
        <m:sSup>
          <m:e>
            <m:r>
              <m:t>s</m:t>
            </m:r>
          </m:e>
          <m:sup>
            <m:r>
              <m:rPr>
                <m:sty m:val="p"/>
              </m:rPr>
              <m:t>⋆</m:t>
            </m:r>
          </m:sup>
        </m:sSup>
      </m:oMath>
      <w:r>
        <w:t xml:space="preserve"> </w:t>
      </w:r>
      <w:r>
        <w:t xml:space="preserve">and the net inflow to</w:t>
      </w:r>
      <w:r>
        <w:t xml:space="preserve"> </w:t>
      </w:r>
      <m:oMath>
        <m:sSup>
          <m:e>
            <m:r>
              <m:t>t</m:t>
            </m:r>
          </m:e>
          <m:sup>
            <m:r>
              <m:rPr>
                <m:sty m:val="p"/>
              </m:rPr>
              <m:t>⋆</m:t>
            </m:r>
          </m:sup>
        </m:sSup>
      </m:oMath>
      <w:r>
        <w:t xml:space="preserve"> </w:t>
      </w:r>
      <w:r>
        <w:t xml:space="preserve">are both equal to</w:t>
      </w:r>
      <w:r>
        <w:t xml:space="preserve"> </w:t>
      </w:r>
      <m:oMath>
        <m:r>
          <m:t>F</m:t>
        </m:r>
      </m:oMath>
      <w:r>
        <w:t xml:space="preserve">. Hence</w:t>
      </w:r>
      <w:r>
        <w:t xml:space="preserve"> </w:t>
      </w:r>
      <m:oMath>
        <m:sSup>
          <m:e>
            <m:r>
              <m:t>f</m:t>
            </m:r>
          </m:e>
          <m:sup>
            <m:r>
              <m:rPr>
                <m:sty m:val="p"/>
              </m:rPr>
              <m:t>′</m:t>
            </m:r>
          </m:sup>
        </m:sSup>
      </m:oMath>
      <w:r>
        <w:t xml:space="preserve"> </w:t>
      </w:r>
      <w:r>
        <w:t xml:space="preserve">is a feasible</w:t>
      </w:r>
      <w:r>
        <w:t xml:space="preserve"> </w:t>
      </w:r>
      <m:oMath>
        <m:sSup>
          <m:e>
            <m:r>
              <m:t>s</m:t>
            </m:r>
          </m:e>
          <m:sup>
            <m:r>
              <m:rPr>
                <m:sty m:val="p"/>
              </m:rPr>
              <m:t>⋆</m:t>
            </m:r>
          </m:sup>
        </m:sSup>
      </m:oMath>
      <w:r>
        <w:t xml:space="preserve">-</w:t>
      </w:r>
      <m:oMath>
        <m:sSup>
          <m:e>
            <m:r>
              <m:t>t</m:t>
            </m:r>
          </m:e>
          <m:sup>
            <m:r>
              <m:rPr>
                <m:sty m:val="p"/>
              </m:rPr>
              <m:t>⋆</m:t>
            </m:r>
          </m:sup>
        </m:sSup>
      </m:oMath>
      <w:r>
        <w:t xml:space="preserve"> </w:t>
      </w:r>
      <w:r>
        <w:t xml:space="preserve">flow of value</w:t>
      </w:r>
      <w:r>
        <w:t xml:space="preserve"> </w:t>
      </w:r>
      <m:oMath>
        <m:r>
          <m:t>F</m:t>
        </m:r>
      </m:oMath>
      <w:r>
        <w:t xml:space="preserve">.</w:t>
      </w:r>
    </w:p>
    <w:p>
      <w:pPr>
        <w:pStyle w:val="BodyText"/>
      </w:pPr>
      <w:r>
        <w:t xml:space="preserve">Conversely, any feasible</w:t>
      </w:r>
      <w:r>
        <w:t xml:space="preserve"> </w:t>
      </w:r>
      <m:oMath>
        <m:sSup>
          <m:e>
            <m:r>
              <m:t>s</m:t>
            </m:r>
          </m:e>
          <m:sup>
            <m:r>
              <m:rPr>
                <m:sty m:val="p"/>
              </m:rPr>
              <m:t>⋆</m:t>
            </m:r>
          </m:sup>
        </m:sSup>
      </m:oMath>
      <w:r>
        <w:t xml:space="preserve">-</w:t>
      </w:r>
      <m:oMath>
        <m:sSup>
          <m:e>
            <m:r>
              <m:t>t</m:t>
            </m:r>
          </m:e>
          <m:sup>
            <m:r>
              <m:rPr>
                <m:sty m:val="p"/>
              </m:rPr>
              <m:t>⋆</m:t>
            </m:r>
          </m:sup>
        </m:sSup>
      </m:oMath>
      <w:r>
        <w:t xml:space="preserve"> </w:t>
      </w:r>
      <w:r>
        <w:t xml:space="preserve">flow on</w:t>
      </w:r>
      <w:r>
        <w:t xml:space="preserve"> </w:t>
      </w:r>
      <m:oMath>
        <m:sSup>
          <m:e>
            <m:r>
              <m:t>G</m:t>
            </m:r>
          </m:e>
          <m:sup>
            <m:r>
              <m:rPr>
                <m:sty m:val="p"/>
              </m:rPr>
              <m:t>′</m:t>
            </m:r>
          </m:sup>
        </m:sSup>
      </m:oMath>
      <w:r>
        <w:t xml:space="preserve"> </w:t>
      </w:r>
      <w:r>
        <w:t xml:space="preserve">restricts to a feasible flow on the original graph</w:t>
      </w:r>
      <w:r>
        <w:t xml:space="preserve"> </w:t>
      </w:r>
      <m:oMath>
        <m:r>
          <m:t>G</m:t>
        </m:r>
      </m:oMath>
      <w:r>
        <w:t xml:space="preserve">, with the same total value, because the super-terminal connectors account exactly for aggregate injection and withdrawal at the original source and sink sets. Therefore the feasible-flow spaces map into one another without changing objective value, and the optimal values are equal. ◻</w:t>
      </w:r>
    </w:p>
    <w:p>
      <w:pPr>
        <w:pStyle w:val="BodyText"/>
      </w:pPr>
      <w:r>
        <w:t xml:space="preserve">In the toolkit, this reduction is performed automatically before solving. All reported outputs are then mapped back to the original source and sink sets so that sink allocations, cut structures, and component-level diagnostics remain interpretable in the native network model.</w:t>
      </w:r>
    </w:p>
    <w:bookmarkEnd w:id="16"/>
    <w:bookmarkStart w:id="18" w:name="sec:node_splitting"/>
    <w:p>
      <w:pPr>
        <w:pStyle w:val="Heading2"/>
      </w:pPr>
      <w:r>
        <w:rPr>
          <w:rStyle w:val="SectionNumber"/>
        </w:rPr>
        <w:t xml:space="preserve">2.6</w:t>
      </w:r>
      <w:r>
        <w:tab/>
      </w:r>
      <w:r>
        <w:t xml:space="preserve">Node-Capacitated Extension via Node Splitting</w:t>
      </w:r>
    </w:p>
    <w:p>
      <w:pPr>
        <w:pStyle w:val="FirstParagraph"/>
      </w:pPr>
      <w:r>
        <w:t xml:space="preserve">The toolkit supports both edge-capacitated and node-capacitated network models. When node capacities are present, it applies the standard node-splitting transformation internally.</w:t>
      </w:r>
    </w:p>
    <w:p>
      <w:pPr>
        <w:pStyle w:val="BodyText"/>
      </w:pPr>
      <w:r>
        <w:t xml:space="preserve">Each constrained node</w:t>
      </w:r>
      <w:r>
        <w:t xml:space="preserve"> </w:t>
      </w:r>
      <m:oMath>
        <m:r>
          <m:t>v</m:t>
        </m:r>
        <m:r>
          <m:rPr>
            <m:sty m:val="p"/>
          </m:rPr>
          <m:t>∈</m:t>
        </m:r>
        <m:sSub>
          <m:e>
            <m:r>
              <m:t>V</m:t>
            </m:r>
          </m:e>
          <m:sub>
            <m:r>
              <m:t>c</m:t>
            </m:r>
          </m:sub>
        </m:sSub>
      </m:oMath>
      <w:r>
        <w:t xml:space="preserve"> </w:t>
      </w:r>
      <w:r>
        <w:t xml:space="preserve">is replaced by an input node</w:t>
      </w:r>
      <w:r>
        <w:t xml:space="preserve"> </w:t>
      </w:r>
      <m:oMath>
        <m:sSup>
          <m:e>
            <m:r>
              <m:t>v</m:t>
            </m:r>
          </m:e>
          <m:sup>
            <m:r>
              <m:rPr>
                <m:sty m:val="p"/>
              </m:rPr>
              <m:t>−</m:t>
            </m:r>
          </m:sup>
        </m:sSup>
      </m:oMath>
      <w:r>
        <w:t xml:space="preserve"> </w:t>
      </w:r>
      <w:r>
        <w:t xml:space="preserve">and an output node</w:t>
      </w:r>
      <w:r>
        <w:t xml:space="preserve"> </w:t>
      </w:r>
      <m:oMath>
        <m:sSup>
          <m:e>
            <m:r>
              <m:t>v</m:t>
            </m:r>
          </m:e>
          <m:sup>
            <m:r>
              <m:rPr>
                <m:sty m:val="p"/>
              </m:rPr>
              <m:t>+</m:t>
            </m:r>
          </m:sup>
        </m:sSup>
      </m:oMath>
      <w:r>
        <w:t xml:space="preserve">, connected by an internal edge</w:t>
      </w:r>
    </w:p>
    <w:p>
      <w:pPr>
        <w:pStyle w:val="BodyText"/>
      </w:pPr>
      <m:oMathPara>
        <m:oMathParaPr>
          <m:jc m:val="center"/>
        </m:oMathParaPr>
        <m:oMath>
          <m:r>
            <m:rPr>
              <m:sty m:val="p"/>
            </m:rPr>
            <m:t>(</m:t>
          </m:r>
          <m:sSup>
            <m:e>
              <m:r>
                <m:t>v</m:t>
              </m:r>
            </m:e>
            <m:sup>
              <m:r>
                <m:rPr>
                  <m:sty m:val="p"/>
                </m:rPr>
                <m:t>−</m:t>
              </m:r>
            </m:sup>
          </m:sSup>
          <m:r>
            <m:rPr>
              <m:sty m:val="p"/>
            </m:rPr>
            <m:t>,</m:t>
          </m:r>
          <m:sSup>
            <m:e>
              <m:r>
                <m:t>v</m:t>
              </m:r>
            </m:e>
            <m:sup>
              <m:r>
                <m:rPr>
                  <m:sty m:val="p"/>
                </m:rPr>
                <m:t>+</m:t>
              </m:r>
            </m:sup>
          </m:sSup>
          <m:r>
            <m:rPr>
              <m:sty m:val="p"/>
            </m:rPr>
            <m:t>)</m:t>
          </m:r>
          <m:r>
            <m:rPr>
              <m:sty m:val="p"/>
            </m:rPr>
            <m:t>,</m:t>
          </m:r>
          <m:r>
            <m:t>  </m:t>
          </m:r>
          <m:sSub>
            <m:e>
              <m:r>
                <m:t>c</m:t>
              </m:r>
            </m:e>
            <m:sub>
              <m:sSup>
                <m:e>
                  <m:r>
                    <m:t>v</m:t>
                  </m:r>
                </m:e>
                <m:sup>
                  <m:r>
                    <m:rPr>
                      <m:sty m:val="p"/>
                    </m:rPr>
                    <m:t>−</m:t>
                  </m:r>
                </m:sup>
              </m:sSup>
              <m:sSup>
                <m:e>
                  <m:r>
                    <m:t>v</m:t>
                  </m:r>
                </m:e>
                <m:sup>
                  <m:r>
                    <m:rPr>
                      <m:sty m:val="p"/>
                    </m:rPr>
                    <m:t>+</m:t>
                  </m:r>
                </m:sup>
              </m:sSup>
            </m:sub>
          </m:sSub>
          <m:r>
            <m:rPr>
              <m:sty m:val="p"/>
            </m:rPr>
            <m:t>=</m:t>
          </m:r>
          <m:sSub>
            <m:e>
              <m:r>
                <m:t>b</m:t>
              </m:r>
            </m:e>
            <m:sub>
              <m:r>
                <m:t>v</m:t>
              </m:r>
            </m:sub>
          </m:sSub>
          <m:r>
            <m:rPr>
              <m:sty m:val="p"/>
            </m:rPr>
            <m:t>.</m:t>
          </m:r>
        </m:oMath>
      </m:oMathPara>
    </w:p>
    <w:p>
      <w:pPr>
        <w:pStyle w:val="FirstParagraph"/>
      </w:pPr>
      <w:r>
        <w:t xml:space="preserve">All original incoming edges are redirected to</w:t>
      </w:r>
      <w:r>
        <w:t xml:space="preserve"> </w:t>
      </w:r>
      <m:oMath>
        <m:sSup>
          <m:e>
            <m:r>
              <m:t>v</m:t>
            </m:r>
          </m:e>
          <m:sup>
            <m:r>
              <m:rPr>
                <m:sty m:val="p"/>
              </m:rPr>
              <m:t>−</m:t>
            </m:r>
          </m:sup>
        </m:sSup>
      </m:oMath>
      <w:r>
        <w:t xml:space="preserve">, and all outgoing edges originate from</w:t>
      </w:r>
      <w:r>
        <w:t xml:space="preserve"> </w:t>
      </w:r>
      <m:oMath>
        <m:sSup>
          <m:e>
            <m:r>
              <m:t>v</m:t>
            </m:r>
          </m:e>
          <m:sup>
            <m:r>
              <m:rPr>
                <m:sty m:val="p"/>
              </m:rPr>
              <m:t>+</m:t>
            </m:r>
          </m:sup>
        </m:sSup>
      </m:oMath>
      <w:r>
        <w:t xml:space="preserve">, as shown in Figure </w:t>
      </w:r>
      <w:hyperlink w:anchor="fig:nodecap_reduction">
        <w:r>
          <w:rPr>
            <w:rStyle w:val="Hyperlink"/>
          </w:rPr>
          <w:t xml:space="preserve">3</w:t>
        </w:r>
      </w:hyperlink>
      <w:r>
        <w:t xml:space="preserve">.</w:t>
      </w:r>
    </w:p>
    <w:bookmarkStart w:id="17" w:name="fig:nodecap_reduction"/>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Original network with edge and node capacities.</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Equivalent node-split edge-capacitated network.</w:t>
            </w:r>
          </w:p>
        </w:tc>
      </w:tr>
    </w:tbl>
    <w:p>
      <w:pPr>
        <w:pStyle w:val="ImageCaption"/>
      </w:pPr>
      <w:r>
        <w:t xml:space="preserve">Node-splitting transformation for node-capacitated analysis.</w:t>
      </w:r>
    </w:p>
    <w:bookmarkEnd w:id="17"/>
    <w:p>
      <w:pPr>
        <w:pStyle w:val="BodyText"/>
      </w:pPr>
      <w:r>
        <w:t xml:space="preserve">This is equivalent to enforcing the throughput bounds</w:t>
      </w:r>
    </w:p>
    <w:p>
      <w:pPr>
        <w:pStyle w:val="BodyText"/>
      </w:pPr>
      <m:oMathPara>
        <m:oMathParaPr>
          <m:jc m:val="center"/>
        </m:oMathParaPr>
        <m:oMath>
          <m:eqArr>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sSub>
                <m:e>
                  <m:r>
                    <m:t>b</m:t>
                  </m:r>
                </m:e>
                <m:sub>
                  <m:r>
                    <m:t>v</m:t>
                  </m:r>
                </m:sub>
              </m:sSub>
              <m:r>
                <m:rPr>
                  <m:sty m:val="p"/>
                </m:rPr>
                <m:t>,</m:t>
              </m:r>
              <m:r>
                <m:t>  </m:t>
              </m:r>
              <m:r>
                <m:rPr>
                  <m:sty m:val="p"/>
                </m:rPr>
                <m:t>∀</m:t>
              </m:r>
              <m:r>
                <m:t>v</m:t>
              </m:r>
              <m:r>
                <m:rPr>
                  <m:sty m:val="p"/>
                </m:rPr>
                <m:t>∈</m:t>
              </m:r>
              <m:sSub>
                <m:e>
                  <m:r>
                    <m:t>V</m:t>
                  </m:r>
                </m:e>
                <m:sub>
                  <m:r>
                    <m:t>c</m:t>
                  </m:r>
                </m:sub>
              </m:sSub>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sSub>
                <m:e>
                  <m:r>
                    <m:t>b</m:t>
                  </m:r>
                </m:e>
                <m:sub>
                  <m:r>
                    <m:t>v</m:t>
                  </m:r>
                </m:sub>
              </m:sSub>
              <m:r>
                <m:rPr>
                  <m:sty m:val="p"/>
                </m:rPr>
                <m:t>,</m:t>
              </m:r>
              <m:r>
                <m:t>  </m:t>
              </m:r>
              <m:r>
                <m:rPr>
                  <m:sty m:val="p"/>
                </m:rPr>
                <m:t>∀</m:t>
              </m:r>
              <m:r>
                <m:t>v</m:t>
              </m:r>
              <m:r>
                <m:rPr>
                  <m:sty m:val="p"/>
                </m:rPr>
                <m:t>∈</m:t>
              </m:r>
              <m:sSub>
                <m:e>
                  <m:r>
                    <m:t>V</m:t>
                  </m:r>
                </m:e>
                <m:sub>
                  <m:r>
                    <m:t>c</m:t>
                  </m:r>
                </m:sub>
              </m:sSub>
              <m:r>
                <m:rPr>
                  <m:sty m:val="p"/>
                </m:rPr>
                <m:t>.</m:t>
              </m:r>
            </m:e>
          </m:eqArr>
        </m:oMath>
      </m:oMathPara>
    </w:p>
    <w:p>
      <w:pPr>
        <w:pStyle w:val="FirstParagraph"/>
      </w:pPr>
      <w:r>
        <w:t xml:space="preserve">The resulting optimisation problem becomes</w:t>
      </w:r>
    </w:p>
    <w:p>
      <w:pPr>
        <w:pStyle w:val="BodyText"/>
      </w:pPr>
      <m:oMathPara>
        <m:oMathParaPr>
          <m:jc m:val="center"/>
        </m:oMathParaPr>
        <m:oMath>
          <m:r>
            <m:rPr>
              <m:sty m:val="p"/>
            </m:rPr>
            <m:t>max</m:t>
          </m:r>
          <m:r>
            <m:t> </m:t>
          </m:r>
          <m:r>
            <m:t>F</m:t>
          </m:r>
        </m:oMath>
      </m:oMathPara>
    </w:p>
    <w:p>
      <w:pPr>
        <w:pStyle w:val="FirstParagraph"/>
      </w:pPr>
      <w:r>
        <w:t xml:space="preserve">subject to</w:t>
      </w:r>
    </w:p>
    <w:p>
      <w:pPr>
        <w:pStyle w:val="BodyText"/>
      </w:pPr>
      <m:oMathPara>
        <m:oMathParaPr>
          <m:jc m:val="center"/>
        </m:oMathParaPr>
        <m:oMath>
          <m:eqArr>
            <m:e>
              <m:r>
                <m:t>0</m:t>
              </m:r>
              <m:r>
                <m:rPr>
                  <m:sty m:val="p"/>
                </m:rPr>
                <m:t>≤</m:t>
              </m:r>
              <m:sSub>
                <m:e>
                  <m:r>
                    <m:t>f</m:t>
                  </m:r>
                </m:e>
                <m:sub>
                  <m:r>
                    <m:t>u</m:t>
                  </m:r>
                  <m:r>
                    <m:t>v</m:t>
                  </m:r>
                </m:sub>
              </m:sSub>
              <m:r>
                <m:rPr>
                  <m:sty m:val="p"/>
                </m:rPr>
                <m:t>≤</m:t>
              </m:r>
              <m:sSub>
                <m:e>
                  <m:r>
                    <m:t>c</m:t>
                  </m:r>
                </m:e>
                <m:sub>
                  <m:r>
                    <m:t>u</m:t>
                  </m:r>
                  <m:r>
                    <m:t>v</m:t>
                  </m:r>
                </m:sub>
              </m:sSub>
              <m:r>
                <m:rPr>
                  <m:sty m:val="p"/>
                </m:rPr>
                <m:t>,</m:t>
              </m:r>
              <m:r>
                <m:t>&amp;</m:t>
              </m:r>
              <m:r>
                <m:t>  </m:t>
              </m:r>
              <m:r>
                <m:rPr>
                  <m:sty m:val="p"/>
                </m:rPr>
                <m:t>∀</m:t>
              </m:r>
              <m:r>
                <m:rPr>
                  <m:sty m:val="p"/>
                </m:rPr>
                <m:t>(</m:t>
              </m:r>
              <m:r>
                <m:t>u</m:t>
              </m:r>
              <m:r>
                <m:rPr>
                  <m:sty m:val="p"/>
                </m:rPr>
                <m:t>,</m:t>
              </m:r>
              <m:r>
                <m:t>v</m:t>
              </m:r>
              <m:r>
                <m:rPr>
                  <m:sty m:val="p"/>
                </m:rPr>
                <m:t>)</m:t>
              </m:r>
              <m:r>
                <m:rPr>
                  <m:sty m:val="p"/>
                </m:rPr>
                <m:t>∈</m:t>
              </m:r>
              <m:r>
                <m:t>E</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r>
                <m:t>0</m:t>
              </m:r>
              <m:r>
                <m:rPr>
                  <m:sty m:val="p"/>
                </m:rPr>
                <m:t>,</m:t>
              </m:r>
              <m:r>
                <m:t>  </m:t>
              </m:r>
              <m:r>
                <m:rPr>
                  <m:sty m:val="p"/>
                </m:rPr>
                <m:t>∀</m:t>
              </m:r>
              <m:r>
                <m:t>v</m:t>
              </m:r>
              <m:r>
                <m:rPr>
                  <m:sty m:val="p"/>
                </m:rPr>
                <m:t>∈</m:t>
              </m:r>
              <m:r>
                <m:t>V</m:t>
              </m:r>
              <m:r>
                <m:rPr>
                  <m:sty m:val="p"/>
                </m:rPr>
                <m:t>\</m:t>
              </m:r>
              <m:r>
                <m:rPr>
                  <m:sty m:val="p"/>
                </m:rPr>
                <m:t>{</m:t>
              </m:r>
              <m:r>
                <m:t>s</m:t>
              </m:r>
              <m:r>
                <m:rPr>
                  <m:sty m:val="p"/>
                </m:rPr>
                <m:t>,</m:t>
              </m:r>
              <m:r>
                <m:t>t</m:t>
              </m:r>
              <m:r>
                <m:rPr>
                  <m:sty m:val="p"/>
                </m:rPr>
                <m:t>}</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sSub>
                <m:e>
                  <m:r>
                    <m:t>b</m:t>
                  </m:r>
                </m:e>
                <m:sub>
                  <m:r>
                    <m:t>v</m:t>
                  </m:r>
                </m:sub>
              </m:sSub>
              <m:r>
                <m:rPr>
                  <m:sty m:val="p"/>
                </m:rPr>
                <m:t>,</m:t>
              </m:r>
              <m:r>
                <m:t>  </m:t>
              </m:r>
              <m:r>
                <m:rPr>
                  <m:sty m:val="p"/>
                </m:rPr>
                <m:t>∀</m:t>
              </m:r>
              <m:r>
                <m:t>v</m:t>
              </m:r>
              <m:r>
                <m:rPr>
                  <m:sty m:val="p"/>
                </m:rPr>
                <m:t>∈</m:t>
              </m:r>
              <m:sSub>
                <m:e>
                  <m:r>
                    <m:t>V</m:t>
                  </m:r>
                </m:e>
                <m:sub>
                  <m:r>
                    <m:t>c</m:t>
                  </m:r>
                </m:sub>
              </m:sSub>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sSub>
                <m:e>
                  <m:r>
                    <m:t>b</m:t>
                  </m:r>
                </m:e>
                <m:sub>
                  <m:r>
                    <m:t>v</m:t>
                  </m:r>
                </m:sub>
              </m:sSub>
              <m:r>
                <m:rPr>
                  <m:sty m:val="p"/>
                </m:rPr>
                <m:t>,</m:t>
              </m:r>
              <m:r>
                <m:t>  </m:t>
              </m:r>
              <m:r>
                <m:rPr>
                  <m:sty m:val="p"/>
                </m:rPr>
                <m:t>∀</m:t>
              </m:r>
              <m:r>
                <m:t>v</m:t>
              </m:r>
              <m:r>
                <m:rPr>
                  <m:sty m:val="p"/>
                </m:rPr>
                <m:t>∈</m:t>
              </m:r>
              <m:sSub>
                <m:e>
                  <m:r>
                    <m:t>V</m:t>
                  </m:r>
                </m:e>
                <m:sub>
                  <m:r>
                    <m:t>c</m:t>
                  </m:r>
                </m:sub>
              </m:sSub>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t>&amp;</m:t>
              </m:r>
              <m:r>
                <m:rPr>
                  <m:sty m:val="p"/>
                </m:rPr>
                <m:t>=</m:t>
              </m:r>
              <m:r>
                <m:t>F</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t>&amp;</m:t>
              </m:r>
              <m:r>
                <m:rPr>
                  <m:sty m:val="p"/>
                </m:rPr>
                <m:t>=</m:t>
              </m:r>
              <m:r>
                <m:t>F</m:t>
              </m:r>
              <m:r>
                <m:rPr>
                  <m:sty m:val="p"/>
                </m:rPr>
                <m:t>.</m:t>
              </m:r>
            </m:e>
          </m:eqArr>
        </m:oMath>
      </m:oMathPara>
    </w:p>
    <w:p>
      <w:pPr>
        <w:pStyle w:val="FirstParagraph"/>
      </w:pPr>
      <w:r>
        <w:t xml:space="preserve">In the implementation, node splitting is applied internally only when node-capacity metadata are supplied. The transformed network is not exposed to the user. All public outputs, including edge flows, node saturations, and cut-side sets, are mapped back to the original graph.</w:t>
      </w:r>
    </w:p>
    <w:bookmarkEnd w:id="18"/>
    <w:bookmarkStart w:id="19" w:name="X308dce362646292a60c8b8d4c1ebddac7105d5a"/>
    <w:p>
      <w:pPr>
        <w:pStyle w:val="Heading2"/>
      </w:pPr>
      <w:r>
        <w:rPr>
          <w:rStyle w:val="SectionNumber"/>
        </w:rPr>
        <w:t xml:space="preserve">2.7</w:t>
      </w:r>
      <w:r>
        <w:tab/>
      </w:r>
      <w:r>
        <w:t xml:space="preserve">Computational Role of This Representation</w:t>
      </w:r>
    </w:p>
    <w:p>
      <w:pPr>
        <w:pStyle w:val="FirstParagraph"/>
      </w:pPr>
      <w:r>
        <w:t xml:space="preserve">The purpose of this formulation is not only to support a baseline max-flow solve, but to provide a common computational layer for downstream diagnostics. Once the graph has been preprocessed and, where required, reduced through super-terminals or node splitting, the same representation can be reused for:</w:t>
      </w:r>
    </w:p>
    <w:p>
      <w:pPr>
        <w:numPr>
          <w:ilvl w:val="0"/>
          <w:numId w:val="1005"/>
        </w:numPr>
      </w:pPr>
      <w:r>
        <w:t xml:space="preserve">baseline throughput analysis,</w:t>
      </w:r>
    </w:p>
    <w:p>
      <w:pPr>
        <w:numPr>
          <w:ilvl w:val="0"/>
          <w:numId w:val="1005"/>
        </w:numPr>
      </w:pPr>
      <w:r>
        <w:t xml:space="preserve">min-cut and bottleneck diagnostics,</w:t>
      </w:r>
    </w:p>
    <w:p>
      <w:pPr>
        <w:numPr>
          <w:ilvl w:val="0"/>
          <w:numId w:val="1005"/>
        </w:numPr>
      </w:pPr>
      <w:r>
        <w:t xml:space="preserve">structural fragility queries,</w:t>
      </w:r>
    </w:p>
    <w:p>
      <w:pPr>
        <w:numPr>
          <w:ilvl w:val="0"/>
          <w:numId w:val="1005"/>
        </w:numPr>
      </w:pPr>
      <w:r>
        <w:t xml:space="preserve">edge-sensitivity and failure-impact analysis,</w:t>
      </w:r>
    </w:p>
    <w:p>
      <w:pPr>
        <w:numPr>
          <w:ilvl w:val="0"/>
          <w:numId w:val="1005"/>
        </w:numPr>
      </w:pPr>
      <w:r>
        <w:t xml:space="preserve">degradation and upgrade threshold analysis.</w:t>
      </w:r>
    </w:p>
    <w:p>
      <w:pPr>
        <w:pStyle w:val="FirstParagraph"/>
      </w:pPr>
      <w:r>
        <w:t xml:space="preserve">The key implementation principle is therefore reuse: graph transformations are applied once, the resulting computational object is shared across modules, and all solver outputs are remapped to the original network model for interpretation. The next section describes the core flow engine built on top of this representation.</w:t>
      </w:r>
    </w:p>
    <w:bookmarkEnd w:id="19"/>
    <w:bookmarkEnd w:id="20"/>
    <w:bookmarkStart w:id="22" w:name="Xf994f10add5a80eb1e467d9b83c09168aa571fa"/>
    <w:p>
      <w:pPr>
        <w:pStyle w:val="Heading1"/>
      </w:pPr>
      <w:r>
        <w:rPr>
          <w:rStyle w:val="SectionNumber"/>
        </w:rPr>
        <w:t xml:space="preserve">3</w:t>
      </w:r>
      <w:r>
        <w:tab/>
      </w:r>
      <w:r>
        <w:t xml:space="preserve">Mathematical Model and Network Flow Semantics</w:t>
      </w:r>
    </w:p>
    <w:p>
      <w:pPr>
        <w:pStyle w:val="FirstParagraph"/>
      </w:pPr>
      <w:r>
        <w:t xml:space="preserve">Let</w:t>
      </w:r>
    </w:p>
    <w:p>
      <w:pPr>
        <w:pStyle w:val="BodyText"/>
      </w:pPr>
      <m:oMathPara>
        <m:oMathParaPr>
          <m:jc m:val="center"/>
        </m:oMathParaPr>
        <m:oMath>
          <m:r>
            <m:t>G</m:t>
          </m:r>
          <m:r>
            <m:rPr>
              <m:sty m:val="p"/>
            </m:rPr>
            <m:t>=</m:t>
          </m:r>
          <m:r>
            <m:rPr>
              <m:sty m:val="p"/>
            </m:rPr>
            <m:t>(</m:t>
          </m:r>
          <m:r>
            <m:t>V</m:t>
          </m:r>
          <m:r>
            <m:rPr>
              <m:sty m:val="p"/>
            </m:rPr>
            <m:t>,</m:t>
          </m:r>
          <m:r>
            <m:t>E</m:t>
          </m:r>
          <m:r>
            <m:rPr>
              <m:sty m:val="p"/>
            </m:rPr>
            <m:t>)</m:t>
          </m:r>
        </m:oMath>
      </m:oMathPara>
    </w:p>
    <w:p>
      <w:pPr>
        <w:pStyle w:val="FirstParagraph"/>
      </w:pPr>
      <w:r>
        <w:t xml:space="preserve">be a directed acyclic graph with edge-capacity function</w:t>
      </w:r>
    </w:p>
    <w:p>
      <w:pPr>
        <w:pStyle w:val="BodyText"/>
      </w:pPr>
      <m:oMathPara>
        <m:oMathParaPr>
          <m:jc m:val="center"/>
        </m:oMathParaPr>
        <m:oMath>
          <m:r>
            <m:t>c</m:t>
          </m:r>
          <m:r>
            <m:rPr>
              <m:sty m:val="p"/>
            </m:rPr>
            <m:t>:</m:t>
          </m:r>
          <m:r>
            <m:t>E</m:t>
          </m:r>
          <m:r>
            <m:rPr>
              <m:sty m:val="p"/>
            </m:rPr>
            <m:t>→</m:t>
          </m:r>
          <m:sSub>
            <m:e>
              <m:r>
                <m:rPr>
                  <m:scr m:val="double-struck"/>
                  <m:sty m:val="p"/>
                </m:rPr>
                <m:t>R</m:t>
              </m:r>
            </m:e>
            <m:sub>
              <m:r>
                <m:rPr>
                  <m:sty m:val="p"/>
                </m:rPr>
                <m:t>≥</m:t>
              </m:r>
              <m:r>
                <m:t>0</m:t>
              </m:r>
            </m:sub>
          </m:sSub>
          <m:r>
            <m:rPr>
              <m:sty m:val="p"/>
            </m:rPr>
            <m:t>,</m:t>
          </m:r>
        </m:oMath>
      </m:oMathPara>
    </w:p>
    <w:p>
      <w:pPr>
        <w:pStyle w:val="FirstParagraph"/>
      </w:pPr>
      <w:r>
        <w:t xml:space="preserve">where</w:t>
      </w:r>
      <w:r>
        <w:t xml:space="preserve"> </w:t>
      </w:r>
      <m:oMath>
        <m:sSub>
          <m:e>
            <m:r>
              <m:t>c</m:t>
            </m:r>
          </m:e>
          <m:sub>
            <m:r>
              <m:t>u</m:t>
            </m:r>
            <m:r>
              <m:t>v</m:t>
            </m:r>
          </m:sub>
        </m:sSub>
      </m:oMath>
      <w:r>
        <w:t xml:space="preserve"> </w:t>
      </w:r>
      <w:r>
        <w:t xml:space="preserve">is the maximum admissible flow on edge</w:t>
      </w:r>
      <w:r>
        <w:t xml:space="preserve"> </w:t>
      </w:r>
      <m:oMath>
        <m:r>
          <m:rPr>
            <m:sty m:val="p"/>
          </m:rPr>
          <m:t>(</m:t>
        </m:r>
        <m:r>
          <m:t>u</m:t>
        </m:r>
        <m:r>
          <m:rPr>
            <m:sty m:val="p"/>
          </m:rPr>
          <m:t>,</m:t>
        </m:r>
        <m:r>
          <m:t>v</m:t>
        </m:r>
        <m:r>
          <m:rPr>
            <m:sty m:val="p"/>
          </m:rPr>
          <m:t>)</m:t>
        </m:r>
        <m:r>
          <m:rPr>
            <m:sty m:val="p"/>
          </m:rPr>
          <m:t>∈</m:t>
        </m:r>
        <m:r>
          <m:t>E</m:t>
        </m:r>
      </m:oMath>
      <w:r>
        <w:t xml:space="preserve">. When node capacities are modeled, let</w:t>
      </w:r>
    </w:p>
    <w:p>
      <w:pPr>
        <w:pStyle w:val="BodyText"/>
      </w:pPr>
      <m:oMathPara>
        <m:oMathParaPr>
          <m:jc m:val="center"/>
        </m:oMathParaPr>
        <m:oMath>
          <m:r>
            <m:t>b</m:t>
          </m:r>
          <m:r>
            <m:rPr>
              <m:sty m:val="p"/>
            </m:rPr>
            <m:t>:</m:t>
          </m:r>
          <m:r>
            <m:t>V</m:t>
          </m:r>
          <m:r>
            <m:rPr>
              <m:sty m:val="p"/>
            </m:rPr>
            <m:t>→</m:t>
          </m:r>
          <m:sSub>
            <m:e>
              <m:r>
                <m:rPr>
                  <m:scr m:val="double-struck"/>
                  <m:sty m:val="p"/>
                </m:rPr>
                <m:t>R</m:t>
              </m:r>
            </m:e>
            <m:sub>
              <m:r>
                <m:rPr>
                  <m:sty m:val="p"/>
                </m:rPr>
                <m:t>≥</m:t>
              </m:r>
              <m:r>
                <m:t>0</m:t>
              </m:r>
            </m:sub>
          </m:sSub>
          <m:r>
            <m:rPr>
              <m:sty m:val="p"/>
            </m:rPr>
            <m:t>.</m:t>
          </m:r>
        </m:oMath>
      </m:oMathPara>
    </w:p>
    <w:p>
      <w:pPr>
        <w:pStyle w:val="FirstParagraph"/>
      </w:pPr>
      <w:r>
        <w:t xml:space="preserve">Here</w:t>
      </w:r>
      <w:r>
        <w:t xml:space="preserve"> </w:t>
      </w:r>
      <m:oMath>
        <m:sSub>
          <m:e>
            <m:r>
              <m:t>b</m:t>
            </m:r>
          </m:e>
          <m:sub>
            <m:r>
              <m:t>v</m:t>
            </m:r>
          </m:sub>
        </m:sSub>
      </m:oMath>
      <w:r>
        <w:t xml:space="preserve"> </w:t>
      </w:r>
      <w:r>
        <w:t xml:space="preserve">denotes the maximum admissible through-flow at node</w:t>
      </w:r>
      <w:r>
        <w:t xml:space="preserve"> </w:t>
      </w:r>
      <m:oMath>
        <m:r>
          <m:t>v</m:t>
        </m:r>
      </m:oMath>
      <w:r>
        <w:t xml:space="preserve">.</w:t>
      </w:r>
      <w:r>
        <w:t xml:space="preserve"> </w:t>
      </w:r>
      <w:r>
        <w:t xml:space="preserve">Define the flow variable</w:t>
      </w:r>
    </w:p>
    <w:p>
      <w:pPr>
        <w:pStyle w:val="BodyText"/>
      </w:pPr>
      <m:oMathPara>
        <m:oMathParaPr>
          <m:jc m:val="center"/>
        </m:oMathParaPr>
        <m:oMath>
          <m:r>
            <m:t>f</m:t>
          </m:r>
          <m:r>
            <m:rPr>
              <m:sty m:val="p"/>
            </m:rPr>
            <m:t>:</m:t>
          </m:r>
          <m:r>
            <m:t>E</m:t>
          </m:r>
          <m:r>
            <m:rPr>
              <m:sty m:val="p"/>
            </m:rPr>
            <m:t>→</m:t>
          </m:r>
          <m:sSub>
            <m:e>
              <m:r>
                <m:rPr>
                  <m:scr m:val="double-struck"/>
                  <m:sty m:val="p"/>
                </m:rPr>
                <m:t>R</m:t>
              </m:r>
            </m:e>
            <m:sub>
              <m:r>
                <m:rPr>
                  <m:sty m:val="p"/>
                </m:rPr>
                <m:t>≥</m:t>
              </m:r>
              <m:r>
                <m:t>0</m:t>
              </m:r>
            </m:sub>
          </m:sSub>
          <m:r>
            <m:rPr>
              <m:sty m:val="p"/>
            </m:rPr>
            <m:t>,</m:t>
          </m:r>
        </m:oMath>
      </m:oMathPara>
    </w:p>
    <w:p>
      <w:pPr>
        <w:pStyle w:val="FirstParagraph"/>
      </w:pPr>
      <w:r>
        <w:t xml:space="preserve">with</w:t>
      </w:r>
      <w:r>
        <w:t xml:space="preserve"> </w:t>
      </w:r>
      <m:oMath>
        <m:sSub>
          <m:e>
            <m:r>
              <m:t>f</m:t>
            </m:r>
          </m:e>
          <m:sub>
            <m:r>
              <m:t>u</m:t>
            </m:r>
            <m:r>
              <m:t>v</m:t>
            </m:r>
          </m:sub>
        </m:sSub>
        <m:box>
          <m:boxPr>
            <m:opEmu m:val="on"/>
          </m:boxPr>
          <m:e>
            <m:r>
              <m:rPr>
                <m:sty m:val="p"/>
              </m:rPr>
              <m:t>:=</m:t>
            </m:r>
          </m:e>
        </m:box>
        <m:r>
          <m:t>f</m:t>
        </m:r>
        <m:r>
          <m:rPr>
            <m:sty m:val="p"/>
          </m:rPr>
          <m:t>(</m:t>
        </m:r>
        <m:r>
          <m:rPr>
            <m:sty m:val="p"/>
          </m:rPr>
          <m:t>(</m:t>
        </m:r>
        <m:r>
          <m:t>u</m:t>
        </m:r>
        <m:r>
          <m:rPr>
            <m:sty m:val="p"/>
          </m:rPr>
          <m:t>,</m:t>
        </m:r>
        <m:r>
          <m:t>v</m:t>
        </m:r>
        <m:r>
          <m:rPr>
            <m:sty m:val="p"/>
          </m:rPr>
          <m:t>)</m:t>
        </m:r>
        <m:r>
          <m:rPr>
            <m:sty m:val="p"/>
          </m:rPr>
          <m:t>)</m:t>
        </m:r>
      </m:oMath>
      <w:r>
        <w:t xml:space="preserve"> </w:t>
      </w:r>
      <w:r>
        <w:t xml:space="preserve">for each edge</w:t>
      </w:r>
      <w:r>
        <w:t xml:space="preserve"> </w:t>
      </w:r>
      <m:oMath>
        <m:r>
          <m:rPr>
            <m:sty m:val="p"/>
          </m:rPr>
          <m:t>(</m:t>
        </m:r>
        <m:r>
          <m:t>u</m:t>
        </m:r>
        <m:r>
          <m:rPr>
            <m:sty m:val="p"/>
          </m:rPr>
          <m:t>,</m:t>
        </m:r>
        <m:r>
          <m:t>v</m:t>
        </m:r>
        <m:r>
          <m:rPr>
            <m:sty m:val="p"/>
          </m:rPr>
          <m:t>)</m:t>
        </m:r>
        <m:r>
          <m:rPr>
            <m:sty m:val="p"/>
          </m:rPr>
          <m:t>∈</m:t>
        </m:r>
        <m:r>
          <m:t>E</m:t>
        </m:r>
      </m:oMath>
      <w:r>
        <w:t xml:space="preserve">.</w:t>
      </w:r>
      <w:r>
        <w:t xml:space="preserve"> </w:t>
      </w:r>
      <w:r>
        <w:t xml:space="preserve">For node</w:t>
      </w:r>
      <w:r>
        <w:t xml:space="preserve"> </w:t>
      </w:r>
      <m:oMath>
        <m:r>
          <m:t>v</m:t>
        </m:r>
      </m:oMath>
      <w:r>
        <w:t xml:space="preserve">, define</w:t>
      </w:r>
    </w:p>
    <w:p>
      <w:pPr>
        <w:pStyle w:val="BodyText"/>
      </w:pPr>
      <m:oMathPara>
        <m:oMathParaPr>
          <m:jc m:val="center"/>
        </m:oMathParaPr>
        <m:oMath>
          <m:sSup>
            <m:e>
              <m:r>
                <m:t>δ</m:t>
              </m:r>
            </m:e>
            <m:sup>
              <m:r>
                <m:rPr>
                  <m:sty m:val="p"/>
                </m:rPr>
                <m:t>+</m:t>
              </m:r>
            </m:sup>
          </m:sSup>
          <m:r>
            <m:rPr>
              <m:sty m:val="p"/>
            </m:rPr>
            <m:t>(</m:t>
          </m:r>
          <m:r>
            <m:t>v</m:t>
          </m:r>
          <m:r>
            <m:rPr>
              <m:sty m:val="p"/>
            </m:rPr>
            <m:t>)</m:t>
          </m:r>
          <m:box>
            <m:boxPr>
              <m:opEmu m:val="on"/>
            </m:boxPr>
            <m:e>
              <m:r>
                <m:rPr>
                  <m:sty m:val="p"/>
                </m:rPr>
                <m:t>:=</m:t>
              </m:r>
            </m:e>
          </m:box>
          <m:r>
            <m:rPr>
              <m:sty m:val="p"/>
            </m:rPr>
            <m:t>{</m:t>
          </m:r>
          <m:r>
            <m:rPr>
              <m:sty m:val="p"/>
            </m:rPr>
            <m:t>(</m:t>
          </m:r>
          <m:r>
            <m:t>v</m:t>
          </m:r>
          <m:r>
            <m:rPr>
              <m:sty m:val="p"/>
            </m:rPr>
            <m:t>,</m:t>
          </m:r>
          <m:r>
            <m:t>w</m:t>
          </m:r>
          <m:r>
            <m:rPr>
              <m:sty m:val="p"/>
            </m:rPr>
            <m:t>)</m:t>
          </m:r>
          <m:r>
            <m:rPr>
              <m:sty m:val="p"/>
            </m:rPr>
            <m:t>∈</m:t>
          </m:r>
          <m:r>
            <m:t>E</m:t>
          </m:r>
          <m:r>
            <m:rPr>
              <m:sty m:val="p"/>
            </m:rPr>
            <m:t>}</m:t>
          </m:r>
          <m:r>
            <m:rPr>
              <m:sty m:val="p"/>
            </m:rPr>
            <m:t>,</m:t>
          </m:r>
          <m:r>
            <m:t>  </m:t>
          </m:r>
          <m:sSup>
            <m:e>
              <m:r>
                <m:t>δ</m:t>
              </m:r>
            </m:e>
            <m:sup>
              <m:r>
                <m:rPr>
                  <m:sty m:val="p"/>
                </m:rPr>
                <m:t>−</m:t>
              </m:r>
            </m:sup>
          </m:sSup>
          <m:r>
            <m:rPr>
              <m:sty m:val="p"/>
            </m:rPr>
            <m:t>(</m:t>
          </m:r>
          <m:r>
            <m:t>v</m:t>
          </m:r>
          <m:r>
            <m:rPr>
              <m:sty m:val="p"/>
            </m:rPr>
            <m:t>)</m:t>
          </m:r>
          <m:box>
            <m:boxPr>
              <m:opEmu m:val="on"/>
            </m:boxPr>
            <m:e>
              <m:r>
                <m:rPr>
                  <m:sty m:val="p"/>
                </m:rPr>
                <m:t>:=</m:t>
              </m:r>
            </m:e>
          </m:box>
          <m:r>
            <m:rPr>
              <m:sty m:val="p"/>
            </m:rPr>
            <m:t>{</m:t>
          </m:r>
          <m:r>
            <m:rPr>
              <m:sty m:val="p"/>
            </m:rPr>
            <m:t>(</m:t>
          </m:r>
          <m:r>
            <m:t>u</m:t>
          </m:r>
          <m:r>
            <m:rPr>
              <m:sty m:val="p"/>
            </m:rPr>
            <m:t>,</m:t>
          </m:r>
          <m:r>
            <m:t>v</m:t>
          </m:r>
          <m:r>
            <m:rPr>
              <m:sty m:val="p"/>
            </m:rPr>
            <m:t>)</m:t>
          </m:r>
          <m:r>
            <m:rPr>
              <m:sty m:val="p"/>
            </m:rPr>
            <m:t>∈</m:t>
          </m:r>
          <m:r>
            <m:t>E</m:t>
          </m:r>
          <m:r>
            <m:rPr>
              <m:sty m:val="p"/>
            </m:rPr>
            <m:t>}</m:t>
          </m:r>
        </m:oMath>
      </m:oMathPara>
    </w:p>
    <w:p>
      <w:pPr>
        <w:pStyle w:val="FirstParagraph"/>
      </w:pPr>
      <w:r>
        <w:t xml:space="preserve">as the outgoing and incoming edge sets, respectively. For a capacitated network model</w:t>
      </w:r>
      <w:r>
        <w:t xml:space="preserve"> </w:t>
      </w:r>
      <m:oMath>
        <m:r>
          <m:t>G</m:t>
        </m:r>
      </m:oMath>
      <w:r>
        <w:t xml:space="preserve"> </w:t>
      </w:r>
      <w:r>
        <w:t xml:space="preserve">with designated source and sink nodes</w:t>
      </w:r>
      <w:r>
        <w:t xml:space="preserve"> </w:t>
      </w:r>
      <m:oMath>
        <m:r>
          <m:t>s</m:t>
        </m:r>
        <m:r>
          <m:rPr>
            <m:sty m:val="p"/>
          </m:rPr>
          <m:t>,</m:t>
        </m:r>
        <m:r>
          <m:t>t</m:t>
        </m:r>
        <m:r>
          <m:rPr>
            <m:sty m:val="p"/>
          </m:rPr>
          <m:t>∈</m:t>
        </m:r>
        <m:r>
          <m:t>V</m:t>
        </m:r>
      </m:oMath>
      <w:r>
        <w:t xml:space="preserve">, the primary objective is to compute the maximum deliverable throughput from</w:t>
      </w:r>
      <w:r>
        <w:t xml:space="preserve"> </w:t>
      </w:r>
      <m:oMath>
        <m:r>
          <m:t>s</m:t>
        </m:r>
      </m:oMath>
      <w:r>
        <w:t xml:space="preserve"> </w:t>
      </w:r>
      <w:r>
        <w:t xml:space="preserve">to</w:t>
      </w:r>
      <w:r>
        <w:t xml:space="preserve"> </w:t>
      </w:r>
      <m:oMath>
        <m:r>
          <m:t>t</m:t>
        </m:r>
      </m:oMath>
      <w:r>
        <w:t xml:space="preserve">, subject to edge capacities</w:t>
      </w:r>
      <w:r>
        <w:t xml:space="preserve"> </w:t>
      </w:r>
      <m:oMath>
        <m:sSub>
          <m:e>
            <m:r>
              <m:t>c</m:t>
            </m:r>
          </m:e>
          <m:sub>
            <m:r>
              <m:t>u</m:t>
            </m:r>
            <m:r>
              <m:t>v</m:t>
            </m:r>
          </m:sub>
        </m:sSub>
      </m:oMath>
      <w:r>
        <w:t xml:space="preserve"> </w:t>
      </w:r>
      <w:r>
        <w:t xml:space="preserve">for</w:t>
      </w:r>
      <w:r>
        <w:t xml:space="preserve"> </w:t>
      </w:r>
      <m:oMath>
        <m:r>
          <m:rPr>
            <m:sty m:val="p"/>
          </m:rPr>
          <m:t>(</m:t>
        </m:r>
        <m:r>
          <m:t>u</m:t>
        </m:r>
        <m:r>
          <m:rPr>
            <m:sty m:val="p"/>
          </m:rPr>
          <m:t>,</m:t>
        </m:r>
        <m:r>
          <m:t>v</m:t>
        </m:r>
        <m:r>
          <m:rPr>
            <m:sty m:val="p"/>
          </m:rPr>
          <m:t>)</m:t>
        </m:r>
        <m:r>
          <m:rPr>
            <m:sty m:val="p"/>
          </m:rPr>
          <m:t>∈</m:t>
        </m:r>
        <m:r>
          <m:t>E</m:t>
        </m:r>
      </m:oMath>
      <w:r>
        <w:t xml:space="preserve"> </w:t>
      </w:r>
      <w:r>
        <w:t xml:space="preserve">and, when modelled, node through-flow bounds</w:t>
      </w:r>
      <w:r>
        <w:t xml:space="preserve"> </w:t>
      </w:r>
      <m:oMath>
        <m:sSub>
          <m:e>
            <m:r>
              <m:t>b</m:t>
            </m:r>
          </m:e>
          <m:sub>
            <m:r>
              <m:t>v</m:t>
            </m:r>
          </m:sub>
        </m:sSub>
      </m:oMath>
      <w:r>
        <w:t xml:space="preserve"> </w:t>
      </w:r>
      <w:r>
        <w:t xml:space="preserve">for</w:t>
      </w:r>
      <w:r>
        <w:t xml:space="preserve"> </w:t>
      </w:r>
      <m:oMath>
        <m:r>
          <m:t>v</m:t>
        </m:r>
        <m:r>
          <m:rPr>
            <m:sty m:val="p"/>
          </m:rPr>
          <m:t>∈</m:t>
        </m:r>
        <m:r>
          <m:t>V</m:t>
        </m:r>
      </m:oMath>
      <w:r>
        <w:t xml:space="preserve">.</w:t>
      </w:r>
    </w:p>
    <w:p>
      <w:pPr>
        <w:pStyle w:val="BodyText"/>
      </w:pPr>
      <w:r>
        <w:t xml:space="preserve">First consider a base-case network: a single-source single-sink capacitated DAG, shown in Fig. </w:t>
      </w:r>
      <w:hyperlink w:anchor="fig:toy_siso_symbolic">
        <w:r>
          <w:rPr>
            <w:rStyle w:val="Hyperlink"/>
          </w:rPr>
          <w:t xml:space="preserve">4</w:t>
        </w:r>
      </w:hyperlink>
      <w:r>
        <w:t xml:space="preserve">. Node</w:t>
      </w:r>
      <w:r>
        <w:t xml:space="preserve"> </w:t>
      </w:r>
      <m:oMath>
        <m:r>
          <m:t>s</m:t>
        </m:r>
      </m:oMath>
      <w:r>
        <w:t xml:space="preserve"> </w:t>
      </w:r>
      <w:r>
        <w:t xml:space="preserve">is the source, node</w:t>
      </w:r>
      <w:r>
        <w:t xml:space="preserve"> </w:t>
      </w:r>
      <m:oMath>
        <m:r>
          <m:t>t</m:t>
        </m:r>
      </m:oMath>
      <w:r>
        <w:t xml:space="preserve"> </w:t>
      </w:r>
      <w:r>
        <w:t xml:space="preserve">is the sink, and intermediate nodes relay flow under capacity constraints. The network performance measure must consider and quantify deliverable throughput from</w:t>
      </w:r>
      <w:r>
        <w:t xml:space="preserve"> </w:t>
      </w:r>
      <m:oMath>
        <m:r>
          <m:t>s</m:t>
        </m:r>
      </m:oMath>
      <w:r>
        <w:t xml:space="preserve"> </w:t>
      </w:r>
      <w:r>
        <w:t xml:space="preserve">to</w:t>
      </w:r>
      <w:r>
        <w:t xml:space="preserve"> </w:t>
      </w:r>
      <m:oMath>
        <m:r>
          <m:t>t</m:t>
        </m:r>
      </m:oMath>
      <w:r>
        <w:t xml:space="preserve">, not just</w:t>
      </w:r>
      <w:r>
        <w:t xml:space="preserve"> </w:t>
      </w:r>
      <m:oMath>
        <m:r>
          <m:t>s</m:t>
        </m:r>
      </m:oMath>
      <w:r>
        <w:t xml:space="preserve">-</w:t>
      </w:r>
      <m:oMath>
        <m:r>
          <m:t>t</m:t>
        </m:r>
      </m:oMath>
      <w:r>
        <w:t xml:space="preserve"> </w:t>
      </w:r>
      <w:r>
        <w:t xml:space="preserve">path existence.</w:t>
      </w:r>
    </w:p>
    <w:bookmarkStart w:id="21" w:name="fig:toy_siso_symbolic"/>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Minimal single-source single-sink capacitated DAG network.</w:t>
      </w:r>
    </w:p>
    <w:bookmarkEnd w:id="21"/>
    <w:p>
      <w:pPr>
        <w:pStyle w:val="BodyText"/>
      </w:pPr>
      <w:r>
        <w:t xml:space="preserve">For this base case, let</w:t>
      </w:r>
      <w:r>
        <w:t xml:space="preserve"> </w:t>
      </w:r>
      <m:oMath>
        <m:r>
          <m:t>f</m:t>
        </m:r>
        <m:r>
          <m:rPr>
            <m:sty m:val="p"/>
          </m:rPr>
          <m:t>:</m:t>
        </m:r>
        <m:r>
          <m:t>E</m:t>
        </m:r>
        <m:r>
          <m:rPr>
            <m:sty m:val="p"/>
          </m:rPr>
          <m:t>→</m:t>
        </m:r>
        <m:sSub>
          <m:e>
            <m:r>
              <m:rPr>
                <m:scr m:val="double-struck"/>
                <m:sty m:val="p"/>
              </m:rPr>
              <m:t>R</m:t>
            </m:r>
          </m:e>
          <m:sub>
            <m:r>
              <m:rPr>
                <m:sty m:val="p"/>
              </m:rPr>
              <m:t>≥</m:t>
            </m:r>
            <m:r>
              <m:t>0</m:t>
            </m:r>
          </m:sub>
        </m:sSub>
      </m:oMath>
      <w:r>
        <w:t xml:space="preserve"> </w:t>
      </w:r>
      <w:r>
        <w:t xml:space="preserve">and</w:t>
      </w:r>
      <w:r>
        <w:t xml:space="preserve"> </w:t>
      </w:r>
      <m:oMath>
        <m:r>
          <m:t>F</m:t>
        </m:r>
        <m:r>
          <m:rPr>
            <m:sty m:val="p"/>
          </m:rPr>
          <m:t>∈</m:t>
        </m:r>
        <m:sSub>
          <m:e>
            <m:r>
              <m:rPr>
                <m:scr m:val="double-struck"/>
                <m:sty m:val="p"/>
              </m:rPr>
              <m:t>R</m:t>
            </m:r>
          </m:e>
          <m:sub>
            <m:r>
              <m:rPr>
                <m:sty m:val="p"/>
              </m:rPr>
              <m:t>≥</m:t>
            </m:r>
            <m:r>
              <m:t>0</m:t>
            </m:r>
          </m:sub>
        </m:sSub>
      </m:oMath>
      <w:r>
        <w:t xml:space="preserve"> </w:t>
      </w:r>
      <w:r>
        <w:t xml:space="preserve">be decision variables, where</w:t>
      </w:r>
      <w:r>
        <w:t xml:space="preserve"> </w:t>
      </w:r>
      <m:oMath>
        <m:r>
          <m:t>F</m:t>
        </m:r>
      </m:oMath>
      <w:r>
        <w:t xml:space="preserve"> </w:t>
      </w:r>
      <w:r>
        <w:t xml:space="preserve">is the total delivered flow from</w:t>
      </w:r>
      <w:r>
        <w:t xml:space="preserve"> </w:t>
      </w:r>
      <m:oMath>
        <m:r>
          <m:t>s</m:t>
        </m:r>
      </m:oMath>
      <w:r>
        <w:t xml:space="preserve"> </w:t>
      </w:r>
      <w:r>
        <w:t xml:space="preserve">to</w:t>
      </w:r>
      <w:r>
        <w:t xml:space="preserve"> </w:t>
      </w:r>
      <m:oMath>
        <m:r>
          <m:t>t</m:t>
        </m:r>
      </m:oMath>
      <w:r>
        <w:t xml:space="preserve">. The optimization model is</w:t>
      </w:r>
    </w:p>
    <w:p>
      <w:pPr>
        <w:pStyle w:val="BodyText"/>
      </w:pPr>
      <m:oMathPara>
        <m:oMathParaPr>
          <m:jc m:val="center"/>
        </m:oMathParaPr>
        <m:oMath>
          <m:r>
            <m:rPr>
              <m:sty m:val="p"/>
            </m:rPr>
            <m:t>max</m:t>
          </m:r>
          <m:r>
            <m:t> </m:t>
          </m:r>
          <m:r>
            <m:t>F</m:t>
          </m:r>
        </m:oMath>
      </m:oMathPara>
    </w:p>
    <w:p>
      <w:pPr>
        <w:pStyle w:val="FirstParagraph"/>
      </w:pPr>
      <w:r>
        <w:t xml:space="preserve">subject to</w:t>
      </w:r>
    </w:p>
    <w:p>
      <w:pPr>
        <w:pStyle w:val="BodyText"/>
      </w:pPr>
      <m:oMathPara>
        <m:oMathParaPr>
          <m:jc m:val="center"/>
        </m:oMathParaPr>
        <m:oMath>
          <m:eqArr>
            <m:e>
              <m:r>
                <m:t>0</m:t>
              </m:r>
              <m:r>
                <m:rPr>
                  <m:sty m:val="p"/>
                </m:rPr>
                <m:t>≤</m:t>
              </m:r>
              <m:sSub>
                <m:e>
                  <m:r>
                    <m:t>f</m:t>
                  </m:r>
                </m:e>
                <m:sub>
                  <m:r>
                    <m:t>u</m:t>
                  </m:r>
                  <m:r>
                    <m:t>v</m:t>
                  </m:r>
                </m:sub>
              </m:sSub>
              <m:r>
                <m:rPr>
                  <m:sty m:val="p"/>
                </m:rPr>
                <m:t>≤</m:t>
              </m:r>
              <m:sSub>
                <m:e>
                  <m:r>
                    <m:t>c</m:t>
                  </m:r>
                </m:e>
                <m:sub>
                  <m:r>
                    <m:t>u</m:t>
                  </m:r>
                  <m:r>
                    <m:t>v</m:t>
                  </m:r>
                </m:sub>
              </m:sSub>
              <m:r>
                <m:rPr>
                  <m:sty m:val="p"/>
                </m:rPr>
                <m:t>,</m:t>
              </m:r>
              <m:r>
                <m:t>&amp;</m:t>
              </m:r>
              <m:r>
                <m:t>  </m:t>
              </m:r>
              <m:r>
                <m:rPr>
                  <m:sty m:val="p"/>
                </m:rPr>
                <m:t>∀</m:t>
              </m:r>
              <m:r>
                <m:rPr>
                  <m:sty m:val="p"/>
                </m:rPr>
                <m:t>(</m:t>
              </m:r>
              <m:r>
                <m:t>u</m:t>
              </m:r>
              <m:r>
                <m:rPr>
                  <m:sty m:val="p"/>
                </m:rPr>
                <m:t>,</m:t>
              </m:r>
              <m:r>
                <m:t>v</m:t>
              </m:r>
              <m:r>
                <m:rPr>
                  <m:sty m:val="p"/>
                </m:rPr>
                <m:t>)</m:t>
              </m:r>
              <m:r>
                <m:rPr>
                  <m:sty m:val="p"/>
                </m:rPr>
                <m:t>∈</m:t>
              </m:r>
              <m:r>
                <m:t>E</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v</m:t>
                  </m:r>
                  <m:r>
                    <m:rPr>
                      <m:sty m:val="p"/>
                    </m:rPr>
                    <m:t>)</m:t>
                  </m:r>
                </m:sub>
                <m:sup>
                  <m:r>
                    <m:t>​</m:t>
                  </m:r>
                </m:sup>
                <m:e>
                  <m:sSub>
                    <m:e>
                      <m:r>
                        <m:t>f</m:t>
                      </m:r>
                    </m:e>
                    <m:sub>
                      <m:r>
                        <m:t>e</m:t>
                      </m:r>
                    </m:sub>
                  </m:sSub>
                </m:e>
              </m:nary>
              <m:r>
                <m:t>&amp;</m:t>
              </m:r>
              <m:r>
                <m:rPr>
                  <m:sty m:val="p"/>
                </m:rPr>
                <m:t>=</m:t>
              </m:r>
              <m:r>
                <m:t>0</m:t>
              </m:r>
              <m:r>
                <m:rPr>
                  <m:sty m:val="p"/>
                </m:rPr>
                <m:t>,</m:t>
              </m:r>
              <m:r>
                <m:t>  </m:t>
              </m:r>
              <m:r>
                <m:rPr>
                  <m:sty m:val="p"/>
                </m:rPr>
                <m:t>∀</m:t>
              </m:r>
              <m:r>
                <m:t>v</m:t>
              </m:r>
              <m:r>
                <m:rPr>
                  <m:sty m:val="p"/>
                </m:rPr>
                <m:t>∈</m:t>
              </m:r>
              <m:r>
                <m:t>V</m:t>
              </m:r>
              <m:r>
                <m:rPr>
                  <m:sty m:val="p"/>
                </m:rPr>
                <m:t>\</m:t>
              </m:r>
              <m:r>
                <m:rPr>
                  <m:sty m:val="p"/>
                </m:rPr>
                <m:t>{</m:t>
              </m:r>
              <m:r>
                <m:t>s</m:t>
              </m:r>
              <m:r>
                <m:rPr>
                  <m:sty m:val="p"/>
                </m:rPr>
                <m:t>,</m:t>
              </m:r>
              <m:r>
                <m:t>t</m:t>
              </m:r>
              <m:r>
                <m:rPr>
                  <m:sty m:val="p"/>
                </m:rPr>
                <m:t>}</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s</m:t>
                  </m:r>
                  <m:r>
                    <m:rPr>
                      <m:sty m:val="p"/>
                    </m:rPr>
                    <m:t>)</m:t>
                  </m:r>
                </m:sub>
                <m:sup>
                  <m:r>
                    <m:t>​</m:t>
                  </m:r>
                </m:sup>
                <m:e>
                  <m:sSub>
                    <m:e>
                      <m:r>
                        <m:t>f</m:t>
                      </m:r>
                    </m:e>
                    <m:sub>
                      <m:r>
                        <m:t>e</m:t>
                      </m:r>
                    </m:sub>
                  </m:sSub>
                </m:e>
              </m:nary>
              <m:r>
                <m:t>&amp;</m:t>
              </m:r>
              <m:r>
                <m:rPr>
                  <m:sty m:val="p"/>
                </m:rPr>
                <m:t>=</m:t>
              </m:r>
              <m:r>
                <m:t>F</m:t>
              </m:r>
              <m:r>
                <m:rPr>
                  <m:sty m:val="p"/>
                </m:rPr>
                <m:t>,</m:t>
              </m:r>
            </m:e>
            <m:e>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rPr>
                  <m:sty m:val="p"/>
                </m:rPr>
                <m:t>−</m:t>
              </m:r>
              <m:nary>
                <m:naryPr>
                  <m:chr m:val="∑"/>
                  <m:limLoc m:val="undOvr"/>
                  <m:subHide m:val="off"/>
                  <m:supHide m:val="on"/>
                </m:naryPr>
                <m:sub>
                  <m:r>
                    <m:t>e</m:t>
                  </m:r>
                  <m:r>
                    <m:rPr>
                      <m:sty m:val="p"/>
                    </m:rPr>
                    <m:t>∈</m:t>
                  </m:r>
                  <m:sSup>
                    <m:e>
                      <m:r>
                        <m:t>δ</m:t>
                      </m:r>
                    </m:e>
                    <m:sup>
                      <m:r>
                        <m:rPr>
                          <m:sty m:val="p"/>
                        </m:rPr>
                        <m:t>+</m:t>
                      </m:r>
                    </m:sup>
                  </m:sSup>
                  <m:r>
                    <m:rPr>
                      <m:sty m:val="p"/>
                    </m:rPr>
                    <m:t>(</m:t>
                  </m:r>
                  <m:r>
                    <m:t>t</m:t>
                  </m:r>
                  <m:r>
                    <m:rPr>
                      <m:sty m:val="p"/>
                    </m:rPr>
                    <m:t>)</m:t>
                  </m:r>
                </m:sub>
                <m:sup>
                  <m:r>
                    <m:t>​</m:t>
                  </m:r>
                </m:sup>
                <m:e>
                  <m:sSub>
                    <m:e>
                      <m:r>
                        <m:t>f</m:t>
                      </m:r>
                    </m:e>
                    <m:sub>
                      <m:r>
                        <m:t>e</m:t>
                      </m:r>
                    </m:sub>
                  </m:sSub>
                </m:e>
              </m:nary>
              <m:r>
                <m:t>&amp;</m:t>
              </m:r>
              <m:r>
                <m:rPr>
                  <m:sty m:val="p"/>
                </m:rPr>
                <m:t>=</m:t>
              </m:r>
              <m:r>
                <m:t>F</m:t>
              </m:r>
              <m:r>
                <m:rPr>
                  <m:sty m:val="p"/>
                </m:rPr>
                <m:t>.</m:t>
              </m:r>
            </m:e>
          </m:eqArr>
        </m:oMath>
      </m:oMathPara>
    </w:p>
    <w:p>
      <w:pPr>
        <w:pStyle w:val="FirstParagraph"/>
      </w:pPr>
      <w:r>
        <w:t xml:space="preserve">Taking</w:t>
      </w:r>
      <w:r>
        <w:t xml:space="preserve"> </w:t>
      </w:r>
      <m:oMath>
        <m:sSup>
          <m:e>
            <m:r>
              <m:t>F</m:t>
            </m:r>
          </m:e>
          <m:sup>
            <m:r>
              <m:rPr>
                <m:sty m:val="p"/>
              </m:rPr>
              <m:t>⋆</m:t>
            </m:r>
          </m:sup>
        </m:sSup>
      </m:oMath>
      <w:r>
        <w:t xml:space="preserve"> </w:t>
      </w:r>
      <w:r>
        <w:t xml:space="preserve">to be the optimal (maximum feasible) value of</w:t>
      </w:r>
      <w:r>
        <w:t xml:space="preserve"> </w:t>
      </w:r>
      <m:oMath>
        <m:r>
          <m:t>F</m:t>
        </m:r>
      </m:oMath>
      <w:r>
        <w:t xml:space="preserve">. Then if the sink node</w:t>
      </w:r>
      <w:r>
        <w:t xml:space="preserve"> </w:t>
      </w:r>
      <m:oMath>
        <m:r>
          <m:t>t</m:t>
        </m:r>
      </m:oMath>
      <w:r>
        <w:t xml:space="preserve"> </w:t>
      </w:r>
      <w:r>
        <w:t xml:space="preserve">has a required demand level</w:t>
      </w:r>
      <w:r>
        <w:t xml:space="preserve"> </w:t>
      </w:r>
      <m:oMath>
        <m:sSub>
          <m:e>
            <m:r>
              <m:t>D</m:t>
            </m:r>
          </m:e>
          <m:sub>
            <m:r>
              <m:t>t</m:t>
            </m:r>
          </m:sub>
        </m:sSub>
      </m:oMath>
      <w:r>
        <w:t xml:space="preserve">, the flow module quantifies service adequacy through the throughput margin</w:t>
      </w:r>
    </w:p>
    <w:p>
      <w:pPr>
        <w:pStyle w:val="BodyText"/>
      </w:pPr>
      <m:oMathPara>
        <m:oMathParaPr>
          <m:jc m:val="center"/>
        </m:oMathParaPr>
        <m:oMath>
          <m:sSub>
            <m:e>
              <m:r>
                <m:rPr>
                  <m:sty m:val="p"/>
                </m:rPr>
                <m:t>Δ</m:t>
              </m:r>
            </m:e>
            <m:sub>
              <m:r>
                <m:t>t</m:t>
              </m:r>
            </m:sub>
          </m:sSub>
          <m:box>
            <m:boxPr>
              <m:opEmu m:val="on"/>
            </m:boxPr>
            <m:e>
              <m:r>
                <m:rPr>
                  <m:sty m:val="p"/>
                </m:rPr>
                <m:t>:=</m:t>
              </m:r>
            </m:e>
          </m:box>
          <m:sSup>
            <m:e>
              <m:r>
                <m:t>F</m:t>
              </m:r>
            </m:e>
            <m:sup>
              <m:r>
                <m:rPr>
                  <m:sty m:val="p"/>
                </m:rPr>
                <m:t>⋆</m:t>
              </m:r>
            </m:sup>
          </m:sSup>
          <m:r>
            <m:rPr>
              <m:sty m:val="p"/>
            </m:rPr>
            <m:t>−</m:t>
          </m:r>
          <m:sSub>
            <m:e>
              <m:r>
                <m:t>D</m:t>
              </m:r>
            </m:e>
            <m:sub>
              <m:r>
                <m:t>t</m:t>
              </m:r>
            </m:sub>
          </m:sSub>
          <m:r>
            <m:rPr>
              <m:sty m:val="p"/>
            </m:rPr>
            <m:t>,</m:t>
          </m:r>
        </m:oMath>
      </m:oMathPara>
    </w:p>
    <w:p>
      <w:pPr>
        <w:pStyle w:val="FirstParagraph"/>
      </w:pPr>
      <w:r>
        <w:t xml:space="preserve">where</w:t>
      </w:r>
      <w:r>
        <w:t xml:space="preserve"> </w:t>
      </w:r>
      <m:oMath>
        <m:sSub>
          <m:e>
            <m:r>
              <m:rPr>
                <m:sty m:val="p"/>
              </m:rPr>
              <m:t>Δ</m:t>
            </m:r>
          </m:e>
          <m:sub>
            <m:r>
              <m:t>t</m:t>
            </m:r>
          </m:sub>
        </m:sSub>
        <m:r>
          <m:rPr>
            <m:sty m:val="p"/>
          </m:rPr>
          <m:t>≥</m:t>
        </m:r>
        <m:r>
          <m:t>0</m:t>
        </m:r>
      </m:oMath>
      <w:r>
        <w:t xml:space="preserve"> </w:t>
      </w:r>
      <w:r>
        <w:t xml:space="preserve">means that the network can meet demand with residual margin, and</w:t>
      </w:r>
      <w:r>
        <w:t xml:space="preserve"> </w:t>
      </w:r>
      <m:oMath>
        <m:sSub>
          <m:e>
            <m:r>
              <m:rPr>
                <m:sty m:val="p"/>
              </m:rPr>
              <m:t>Δ</m:t>
            </m:r>
          </m:e>
          <m:sub>
            <m:r>
              <m:t>t</m:t>
            </m:r>
          </m:sub>
        </m:sSub>
        <m:r>
          <m:rPr>
            <m:sty m:val="p"/>
          </m:rPr>
          <m:t>&lt;</m:t>
        </m:r>
        <m:r>
          <m:t>0</m:t>
        </m:r>
      </m:oMath>
      <w:r>
        <w:t xml:space="preserve"> </w:t>
      </w:r>
      <w:r>
        <w:t xml:space="preserve">indicates a throughput shortfall of</w:t>
      </w:r>
      <w:r>
        <w:t xml:space="preserve"> </w:t>
      </w:r>
      <m:oMath>
        <m:r>
          <m:rPr>
            <m:sty m:val="p"/>
          </m:rPr>
          <m:t>|</m:t>
        </m:r>
        <m:sSub>
          <m:e>
            <m:r>
              <m:rPr>
                <m:sty m:val="p"/>
              </m:rPr>
              <m:t>Δ</m:t>
            </m:r>
          </m:e>
          <m:sub>
            <m:r>
              <m:t>t</m:t>
            </m:r>
          </m:sub>
        </m:sSub>
        <m:r>
          <m:rPr>
            <m:sty m:val="p"/>
          </m:rPr>
          <m:t>|</m:t>
        </m:r>
      </m:oMath>
      <w:r>
        <w:t xml:space="preserve">.</w:t>
      </w:r>
    </w:p>
    <w:bookmarkEnd w:id="22"/>
    <w:bookmarkStart w:id="43" w:name="X6e870236e28e811f095b5e56633b503579c5ab2"/>
    <w:p>
      <w:pPr>
        <w:pStyle w:val="Heading1"/>
      </w:pPr>
      <w:r>
        <w:rPr>
          <w:rStyle w:val="SectionNumber"/>
        </w:rPr>
        <w:t xml:space="preserve">4</w:t>
      </w:r>
      <w:r>
        <w:tab/>
      </w:r>
      <w:r>
        <w:t xml:space="preserve">Flow Diagnostics and Derived Analysis Modules</w:t>
      </w:r>
    </w:p>
    <w:p>
      <w:pPr>
        <w:pStyle w:val="FirstParagraph"/>
      </w:pPr>
      <w:r>
        <w:t xml:space="preserve">The previous section described the computational framework and solver options used to obtain a baseline max-flow solution. This section formalises the diagnostic quantities built on top of that solution. The central idea is that once a baseline flow</w:t>
      </w:r>
      <w:r>
        <w:t xml:space="preserve"> </w:t>
      </w:r>
      <m:oMath>
        <m:sSup>
          <m:e>
            <m:r>
              <m:t>f</m:t>
            </m:r>
          </m:e>
          <m:sup>
            <m:r>
              <m:rPr>
                <m:sty m:val="p"/>
              </m:rPr>
              <m:t>⋆</m:t>
            </m:r>
          </m:sup>
        </m:sSup>
      </m:oMath>
      <w:r>
        <w:t xml:space="preserve">, residual graph, and minimum-cut structure have been computed, they can be reused to answer a much broader set of engineering questions than throughput alone.</w:t>
      </w:r>
    </w:p>
    <w:p>
      <w:pPr>
        <w:pStyle w:val="BodyText"/>
      </w:pPr>
      <w:r>
        <w:t xml:space="preserve">Throughout this section, let</w:t>
      </w:r>
    </w:p>
    <w:p>
      <w:pPr>
        <w:pStyle w:val="BodyText"/>
      </w:pPr>
      <m:oMathPara>
        <m:oMathParaPr>
          <m:jc m:val="center"/>
        </m:oMathParaPr>
        <m:oMath>
          <m:sSup>
            <m:e>
              <m:r>
                <m:t>F</m:t>
              </m:r>
            </m:e>
            <m:sup>
              <m:r>
                <m:rPr>
                  <m:sty m:val="p"/>
                </m:rPr>
                <m:t>⋆</m:t>
              </m:r>
            </m:sup>
          </m:sSup>
          <m:r>
            <m:rPr>
              <m:sty m:val="p"/>
            </m:rPr>
            <m:t>=</m:t>
          </m:r>
          <m:sSup>
            <m:e>
              <m:r>
                <m:t>F</m:t>
              </m:r>
            </m:e>
            <m:sup>
              <m:r>
                <m:rPr>
                  <m:sty m:val="p"/>
                </m:rPr>
                <m:t>⋆</m:t>
              </m:r>
            </m:sup>
          </m:sSup>
          <m:r>
            <m:rPr>
              <m:sty m:val="p"/>
            </m:rPr>
            <m:t>(</m:t>
          </m:r>
          <m:r>
            <m:t>G</m:t>
          </m:r>
          <m:r>
            <m:rPr>
              <m:sty m:val="p"/>
            </m:rPr>
            <m:t>,</m:t>
          </m:r>
          <m:r>
            <m:t>c</m:t>
          </m:r>
          <m:r>
            <m:rPr>
              <m:sty m:val="p"/>
            </m:rPr>
            <m:t>)</m:t>
          </m:r>
        </m:oMath>
      </m:oMathPara>
    </w:p>
    <w:p>
      <w:pPr>
        <w:pStyle w:val="FirstParagraph"/>
      </w:pPr>
      <w:r>
        <w:t xml:space="preserve">denote the optimal throughput of the current network under the active capacity assignment, and let</w:t>
      </w:r>
      <w:r>
        <w:t xml:space="preserve"> </w:t>
      </w:r>
      <m:oMath>
        <m:sSup>
          <m:e>
            <m:r>
              <m:t>f</m:t>
            </m:r>
          </m:e>
          <m:sup>
            <m:r>
              <m:rPr>
                <m:sty m:val="p"/>
              </m:rPr>
              <m:t>⋆</m:t>
            </m:r>
          </m:sup>
        </m:sSup>
      </m:oMath>
      <w:r>
        <w:t xml:space="preserve"> </w:t>
      </w:r>
      <w:r>
        <w:t xml:space="preserve">denote the corresponding solved edge-flow function.</w:t>
      </w:r>
    </w:p>
    <w:bookmarkStart w:id="23" w:name="baseline-flow-solve-and-solver-choice"/>
    <w:p>
      <w:pPr>
        <w:pStyle w:val="Heading2"/>
      </w:pPr>
      <w:r>
        <w:rPr>
          <w:rStyle w:val="SectionNumber"/>
        </w:rPr>
        <w:t xml:space="preserve">4.1</w:t>
      </w:r>
      <w:r>
        <w:tab/>
      </w:r>
      <w:r>
        <w:t xml:space="preserve">Baseline Flow Solve and Solver Choice</w:t>
      </w:r>
    </w:p>
    <w:p>
      <w:pPr>
        <w:pStyle w:val="FirstParagraph"/>
      </w:pPr>
      <w:r>
        <w:t xml:space="preserve">The baseline flow solve addresses the most immediate query:</w:t>
      </w:r>
    </w:p>
    <w:p>
      <w:pPr>
        <w:pStyle w:val="BlockText"/>
      </w:pPr>
      <w:r>
        <w:rPr>
          <w:b/>
          <w:bCs/>
        </w:rPr>
        <w:t xml:space="preserve">How much throughput can the network sustain under the current capacities?</w:t>
      </w:r>
    </w:p>
    <w:p>
      <w:pPr>
        <w:pStyle w:val="FirstParagraph"/>
      </w:pPr>
      <w:r>
        <w:t xml:space="preserve">As discussed in the previous section, the toolkit supports three classical max-flow solvers:</w:t>
      </w:r>
    </w:p>
    <w:p>
      <w:pPr>
        <w:numPr>
          <w:ilvl w:val="0"/>
          <w:numId w:val="1006"/>
        </w:numPr>
      </w:pPr>
      <w:r>
        <w:t xml:space="preserve">Edmonds–Karp, which is most useful for smaller networks and debugging;</w:t>
      </w:r>
    </w:p>
    <w:p>
      <w:pPr>
        <w:numPr>
          <w:ilvl w:val="0"/>
          <w:numId w:val="1006"/>
        </w:numPr>
      </w:pPr>
      <w:r>
        <w:t xml:space="preserve">Dinic, which is the default option for most layered DAGs;</w:t>
      </w:r>
    </w:p>
    <w:p>
      <w:pPr>
        <w:numPr>
          <w:ilvl w:val="0"/>
          <w:numId w:val="1006"/>
        </w:numPr>
      </w:pPr>
      <w:r>
        <w:t xml:space="preserve">Push–Relabel, which is particularly useful in dense or high fan-out networks.</w:t>
      </w:r>
    </w:p>
    <w:p>
      <w:pPr>
        <w:pStyle w:val="FirstParagraph"/>
      </w:pPr>
      <w:r>
        <w:t xml:space="preserve">The baseline solve returns the maximum deliverable throughput</w:t>
      </w:r>
      <w:r>
        <w:t xml:space="preserve"> </w:t>
      </w:r>
      <m:oMath>
        <m:sSup>
          <m:e>
            <m:r>
              <m:t>F</m:t>
            </m:r>
          </m:e>
          <m:sup>
            <m:r>
              <m:rPr>
                <m:sty m:val="p"/>
              </m:rPr>
              <m:t>⋆</m:t>
            </m:r>
          </m:sup>
        </m:sSup>
      </m:oMath>
      <w:r>
        <w:t xml:space="preserve">, together with the solved edge flows, residual capacities, sink allocations, and a representative minimum-cut partition. These outputs form the computational basis for all subsequent modules.</w:t>
      </w:r>
    </w:p>
    <w:bookmarkEnd w:id="23"/>
    <w:bookmarkStart w:id="25" w:name="min-cut-utility-module"/>
    <w:p>
      <w:pPr>
        <w:pStyle w:val="Heading2"/>
      </w:pPr>
      <w:r>
        <w:rPr>
          <w:rStyle w:val="SectionNumber"/>
        </w:rPr>
        <w:t xml:space="preserve">4.2</w:t>
      </w:r>
      <w:r>
        <w:tab/>
      </w:r>
      <w:r>
        <w:t xml:space="preserve">Min-Cut Utility Module</w:t>
      </w:r>
    </w:p>
    <w:p>
      <w:pPr>
        <w:pStyle w:val="BlockText"/>
      </w:pPr>
      <w:r>
        <w:rPr>
          <w:b/>
          <w:bCs/>
        </w:rPr>
        <w:t xml:space="preserve">Motivating question:</w:t>
      </w:r>
      <w:r>
        <w:t xml:space="preserve"> </w:t>
      </w:r>
      <w:r>
        <w:rPr>
          <w:i/>
          <w:iCs/>
        </w:rPr>
        <w:t xml:space="preserve">How constrained is the bottleneck, and in how many equivalent ways?</w:t>
      </w:r>
    </w:p>
    <w:p>
      <w:pPr>
        <w:pStyle w:val="FirstParagraph"/>
      </w:pPr>
      <w:r>
        <w:t xml:space="preserve">A baseline max-flow solve produces one valid minimum cut, but this does not imply that the minimum-cut structure is unique. In infrastructure and process networks, it is often important to know whether the bottleneck is tightly localised or whether many distinct cut partitions achieve the same capacity.</w:t>
      </w:r>
    </w:p>
    <w:p>
      <w:pPr>
        <w:pStyle w:val="BodyText"/>
      </w:pPr>
      <w:r>
        <w:t xml:space="preserve">To capture this, the toolkit computes an extended cut structure from the final residual graph.</w:t>
      </w:r>
    </w:p>
    <w:p>
      <w:pPr>
        <w:pStyle w:val="BodyText"/>
      </w:pPr>
      <w:r>
        <w:t xml:space="preserve">Let</w:t>
      </w:r>
      <w:r>
        <w:t xml:space="preserve"> </w:t>
      </w:r>
      <m:oMath>
        <m:sSub>
          <m:e>
            <m:r>
              <m:t>R</m:t>
            </m:r>
          </m:e>
          <m:sub>
            <m:r>
              <m:t>T</m:t>
            </m:r>
          </m:sub>
        </m:sSub>
        <m:r>
          <m:rPr>
            <m:sty m:val="p"/>
          </m:rPr>
          <m:t>⊆</m:t>
        </m:r>
        <m:r>
          <m:t>V</m:t>
        </m:r>
      </m:oMath>
      <w:r>
        <w:t xml:space="preserve"> </w:t>
      </w:r>
      <w:r>
        <w:t xml:space="preserve">be the set of nodes backward-reachable from the sink region in the final residual graph.</w:t>
      </w:r>
    </w:p>
    <w:p>
      <w:pPr>
        <w:pStyle w:val="BodyText"/>
      </w:pPr>
      <w:r>
        <w:rPr>
          <w:b/>
          <w:bCs/>
        </w:rPr>
        <w:t xml:space="preserve">Definition 1</w:t>
      </w:r>
      <w:r>
        <w:t xml:space="preserve"> </w:t>
      </w:r>
      <w:r>
        <w:t xml:space="preserve">(Extended Source Partition).</w:t>
      </w:r>
      <w:r>
        <w:t xml:space="preserve"> </w:t>
      </w:r>
      <w:r>
        <w:t xml:space="preserve"> </w:t>
      </w:r>
      <w:r>
        <w:rPr>
          <w:i/>
          <w:iCs/>
        </w:rPr>
        <w:t xml:space="preserve">The extended source-side region is</w:t>
      </w:r>
      <w:r>
        <w:rPr>
          <w:i/>
          <w:iCs/>
        </w:rPr>
        <w:t xml:space="preserve"> </w:t>
      </w:r>
      <m:oMathPara>
        <m:oMathParaPr>
          <m:jc m:val="center"/>
        </m:oMathParaPr>
        <m:oMath>
          <m:sSup>
            <m:e>
              <m:r>
                <m:t>S</m:t>
              </m:r>
            </m:e>
            <m:sup>
              <m:r>
                <m:rPr>
                  <m:sty m:val="p"/>
                </m:rPr>
                <m:t>⋆</m:t>
              </m:r>
              <m:r>
                <m:rPr>
                  <m:sty m:val="p"/>
                </m:rPr>
                <m:t>⋆</m:t>
              </m:r>
            </m:sup>
          </m:sSup>
          <m:r>
            <m:rPr>
              <m:sty m:val="p"/>
            </m:rPr>
            <m:t>=</m:t>
          </m:r>
          <m:r>
            <m:t>V</m:t>
          </m:r>
          <m:r>
            <m:rPr>
              <m:sty m:val="p"/>
            </m:rPr>
            <m:t>\</m:t>
          </m:r>
          <m:sSub>
            <m:e>
              <m:r>
                <m:t>R</m:t>
              </m:r>
            </m:e>
            <m:sub>
              <m:r>
                <m:t>T</m:t>
              </m:r>
            </m:sub>
          </m:sSub>
          <m:r>
            <m:rPr>
              <m:sty m:val="p"/>
            </m:rPr>
            <m:t>,</m:t>
          </m:r>
        </m:oMath>
      </m:oMathPara>
      <w:r>
        <w:rPr>
          <w:i/>
          <w:iCs/>
        </w:rPr>
        <w:t xml:space="preserve"> </w:t>
      </w:r>
      <w:r>
        <w:rPr>
          <w:i/>
          <w:iCs/>
        </w:rPr>
        <w:t xml:space="preserve">restricted to original graph nodes. Any node outside</w:t>
      </w:r>
      <w:r>
        <w:rPr>
          <w:i/>
          <w:iCs/>
        </w:rPr>
        <w:t xml:space="preserve"> </w:t>
      </w:r>
      <m:oMath>
        <m:sSub>
          <m:e>
            <m:r>
              <m:t>R</m:t>
            </m:r>
          </m:e>
          <m:sub>
            <m:r>
              <m:t>T</m:t>
            </m:r>
          </m:sub>
        </m:sSub>
      </m:oMath>
      <w:r>
        <w:rPr>
          <w:i/>
          <w:iCs/>
        </w:rPr>
        <w:t xml:space="preserve"> </w:t>
      </w:r>
      <w:r>
        <w:rPr>
          <w:i/>
          <w:iCs/>
        </w:rPr>
        <w:t xml:space="preserve">cannot reach the sink under the current residual state, so assigning it to the source partition cannot increase cut capacity. Consequently,</w:t>
      </w:r>
      <w:r>
        <w:rPr>
          <w:i/>
          <w:iCs/>
        </w:rPr>
        <w:t xml:space="preserve"> </w:t>
      </w:r>
      <m:oMathPara>
        <m:oMathParaPr>
          <m:jc m:val="center"/>
        </m:oMathParaPr>
        <m:oMath>
          <m:sSup>
            <m:e>
              <m:r>
                <m:t>S</m:t>
              </m:r>
            </m:e>
            <m:sup>
              <m:r>
                <m:rPr>
                  <m:sty m:val="p"/>
                </m:rPr>
                <m:t>⋆</m:t>
              </m:r>
            </m:sup>
          </m:sSup>
          <m:r>
            <m:rPr>
              <m:sty m:val="p"/>
            </m:rPr>
            <m:t>⊆</m:t>
          </m:r>
          <m:sSup>
            <m:e>
              <m:r>
                <m:t>S</m:t>
              </m:r>
            </m:e>
            <m:sup>
              <m:r>
                <m:rPr>
                  <m:sty m:val="p"/>
                </m:rPr>
                <m:t>⋆</m:t>
              </m:r>
              <m:r>
                <m:rPr>
                  <m:sty m:val="p"/>
                </m:rPr>
                <m:t>⋆</m:t>
              </m:r>
            </m:sup>
          </m:sSup>
          <m:r>
            <m:rPr>
              <m:sty m:val="p"/>
            </m:rPr>
            <m:t>.</m:t>
          </m:r>
        </m:oMath>
      </m:oMathPara>
    </w:p>
    <w:p>
      <w:pPr>
        <w:pStyle w:val="FirstParagraph"/>
      </w:pPr>
      <w:r>
        <w:rPr>
          <w:b/>
          <w:bCs/>
        </w:rPr>
        <w:t xml:space="preserve">Definition 2</w:t>
      </w:r>
      <w:r>
        <w:t xml:space="preserve"> </w:t>
      </w:r>
      <w:r>
        <w:t xml:space="preserve">(Free Zone).</w:t>
      </w:r>
      <w:r>
        <w:t xml:space="preserve"> </w:t>
      </w:r>
      <w:r>
        <w:t xml:space="preserve"> </w:t>
      </w:r>
      <w:r>
        <w:rPr>
          <w:i/>
          <w:iCs/>
        </w:rPr>
        <w:t xml:space="preserve">Given the representative source-side minimum-cut partition</w:t>
      </w:r>
      <w:r>
        <w:rPr>
          <w:i/>
          <w:iCs/>
        </w:rPr>
        <w:t xml:space="preserve"> </w:t>
      </w:r>
      <m:oMath>
        <m:sSup>
          <m:e>
            <m:r>
              <m:t>S</m:t>
            </m:r>
          </m:e>
          <m:sup>
            <m:r>
              <m:rPr>
                <m:sty m:val="p"/>
              </m:rPr>
              <m:t>⋆</m:t>
            </m:r>
          </m:sup>
        </m:sSup>
      </m:oMath>
      <w:r>
        <w:rPr>
          <w:i/>
          <w:iCs/>
        </w:rPr>
        <w:t xml:space="preserve">, the free zone is</w:t>
      </w:r>
      <w:r>
        <w:rPr>
          <w:i/>
          <w:iCs/>
        </w:rPr>
        <w:t xml:space="preserve"> </w:t>
      </w:r>
      <m:oMathPara>
        <m:oMathParaPr>
          <m:jc m:val="center"/>
        </m:oMathParaPr>
        <m:oMath>
          <m:r>
            <m:rPr>
              <m:scr m:val="script"/>
              <m:sty m:val="p"/>
            </m:rPr>
            <m:t>F</m:t>
          </m:r>
          <m:r>
            <m:rPr>
              <m:sty m:val="p"/>
            </m:rPr>
            <m:t>=</m:t>
          </m:r>
          <m:sSup>
            <m:e>
              <m:r>
                <m:t>S</m:t>
              </m:r>
            </m:e>
            <m:sup>
              <m:r>
                <m:rPr>
                  <m:sty m:val="p"/>
                </m:rPr>
                <m:t>⋆</m:t>
              </m:r>
              <m:r>
                <m:rPr>
                  <m:sty m:val="p"/>
                </m:rPr>
                <m:t>⋆</m:t>
              </m:r>
            </m:sup>
          </m:sSup>
          <m:r>
            <m:rPr>
              <m:sty m:val="p"/>
            </m:rPr>
            <m:t>\</m:t>
          </m:r>
          <m:sSup>
            <m:e>
              <m:r>
                <m:t>S</m:t>
              </m:r>
            </m:e>
            <m:sup>
              <m:r>
                <m:rPr>
                  <m:sty m:val="p"/>
                </m:rPr>
                <m:t>⋆</m:t>
              </m:r>
            </m:sup>
          </m:sSup>
          <m:r>
            <m:rPr>
              <m:sty m:val="p"/>
            </m:rPr>
            <m:t>.</m:t>
          </m:r>
        </m:oMath>
      </m:oMathPara>
      <w:r>
        <w:rPr>
          <w:i/>
          <w:iCs/>
        </w:rPr>
        <w:t xml:space="preserve"> </w:t>
      </w:r>
      <w:r>
        <w:rPr>
          <w:i/>
          <w:iCs/>
        </w:rPr>
        <w:t xml:space="preserve">Nodes in</w:t>
      </w:r>
      <w:r>
        <w:rPr>
          <w:i/>
          <w:iCs/>
        </w:rPr>
        <w:t xml:space="preserve"> </w:t>
      </w:r>
      <m:oMath>
        <m:r>
          <m:rPr>
            <m:scr m:val="script"/>
            <m:sty m:val="p"/>
          </m:rPr>
          <m:t>F</m:t>
        </m:r>
      </m:oMath>
      <w:r>
        <w:rPr>
          <w:i/>
          <w:iCs/>
        </w:rPr>
        <w:t xml:space="preserve"> </w:t>
      </w:r>
      <w:r>
        <w:rPr>
          <w:i/>
          <w:iCs/>
        </w:rPr>
        <w:t xml:space="preserve">can be assigned to either side of a minimum cut without changing its capacity. Every valid minimum cut therefore takes the form</w:t>
      </w:r>
      <w:r>
        <w:rPr>
          <w:i/>
          <w:iCs/>
        </w:rPr>
        <w:t xml:space="preserve"> </w:t>
      </w:r>
      <m:oMathPara>
        <m:oMathParaPr>
          <m:jc m:val="center"/>
        </m:oMathParaPr>
        <m:oMath>
          <m:r>
            <m:t>S</m:t>
          </m:r>
          <m:r>
            <m:rPr>
              <m:sty m:val="p"/>
            </m:rPr>
            <m:t>=</m:t>
          </m:r>
          <m:sSup>
            <m:e>
              <m:r>
                <m:t>S</m:t>
              </m:r>
            </m:e>
            <m:sup>
              <m:r>
                <m:rPr>
                  <m:sty m:val="p"/>
                </m:rPr>
                <m:t>⋆</m:t>
              </m:r>
            </m:sup>
          </m:sSup>
          <m:r>
            <m:rPr>
              <m:sty m:val="p"/>
            </m:rPr>
            <m:t>∪</m:t>
          </m:r>
          <m:r>
            <m:t>R</m:t>
          </m:r>
          <m:r>
            <m:rPr>
              <m:sty m:val="p"/>
            </m:rPr>
            <m:t>,</m:t>
          </m:r>
          <m:r>
            <m:t>  </m:t>
          </m:r>
          <m:r>
            <m:t>R</m:t>
          </m:r>
          <m:r>
            <m:rPr>
              <m:sty m:val="p"/>
            </m:rPr>
            <m:t>⊆</m:t>
          </m:r>
          <m:r>
            <m:rPr>
              <m:scr m:val="script"/>
              <m:sty m:val="p"/>
            </m:rPr>
            <m:t>F</m:t>
          </m:r>
          <m:r>
            <m:rPr>
              <m:sty m:val="p"/>
            </m:rPr>
            <m:t>.</m:t>
          </m:r>
        </m:oMath>
      </m:oMathPara>
    </w:p>
    <w:p>
      <w:pPr>
        <w:pStyle w:val="FirstParagraph"/>
      </w:pPr>
      <w:r>
        <w:t xml:space="preserve">The free-zone size</w:t>
      </w:r>
      <w:r>
        <w:t xml:space="preserve"> </w:t>
      </w:r>
      <m:oMath>
        <m:r>
          <m:rPr>
            <m:sty m:val="p"/>
          </m:rPr>
          <m:t>|</m:t>
        </m:r>
        <m:r>
          <m:rPr>
            <m:scr m:val="script"/>
            <m:sty m:val="p"/>
          </m:rPr>
          <m:t>F</m:t>
        </m:r>
        <m:r>
          <m:rPr>
            <m:sty m:val="p"/>
          </m:rPr>
          <m:t>|</m:t>
        </m:r>
      </m:oMath>
      <w:r>
        <w:t xml:space="preserve"> </w:t>
      </w:r>
      <w:r>
        <w:t xml:space="preserve">quantifies the degeneracy of the bottleneck structure. When</w:t>
      </w:r>
      <w:r>
        <w:t xml:space="preserve"> </w:t>
      </w:r>
      <m:oMath>
        <m:r>
          <m:rPr>
            <m:sty m:val="p"/>
          </m:rPr>
          <m:t>|</m:t>
        </m:r>
        <m:r>
          <m:rPr>
            <m:scr m:val="script"/>
            <m:sty m:val="p"/>
          </m:rPr>
          <m:t>F</m:t>
        </m:r>
        <m:r>
          <m:rPr>
            <m:sty m:val="p"/>
          </m:rPr>
          <m:t>|</m:t>
        </m:r>
        <m:r>
          <m:rPr>
            <m:sty m:val="p"/>
          </m:rPr>
          <m:t>=</m:t>
        </m:r>
        <m:r>
          <m:t>0</m:t>
        </m:r>
      </m:oMath>
      <w:r>
        <w:t xml:space="preserve">, the representative minimum cut is unique. When</w:t>
      </w:r>
      <w:r>
        <w:t xml:space="preserve"> </w:t>
      </w:r>
      <m:oMath>
        <m:r>
          <m:rPr>
            <m:sty m:val="p"/>
          </m:rPr>
          <m:t>|</m:t>
        </m:r>
        <m:r>
          <m:rPr>
            <m:scr m:val="script"/>
            <m:sty m:val="p"/>
          </m:rPr>
          <m:t>F</m:t>
        </m:r>
        <m:r>
          <m:rPr>
            <m:sty m:val="p"/>
          </m:rPr>
          <m:t>|</m:t>
        </m:r>
        <m:r>
          <m:rPr>
            <m:sty m:val="p"/>
          </m:rPr>
          <m:t>&gt;</m:t>
        </m:r>
        <m:r>
          <m:t>0</m:t>
        </m:r>
      </m:oMath>
      <w:r>
        <w:t xml:space="preserve">, there are</w:t>
      </w:r>
      <w:r>
        <w:t xml:space="preserve"> </w:t>
      </w:r>
      <m:oMath>
        <m:sSup>
          <m:e>
            <m:r>
              <m:t>2</m:t>
            </m:r>
          </m:e>
          <m:sup>
            <m:r>
              <m:rPr>
                <m:sty m:val="p"/>
              </m:rPr>
              <m:t>|</m:t>
            </m:r>
            <m:r>
              <m:rPr>
                <m:scr m:val="script"/>
                <m:sty m:val="p"/>
              </m:rPr>
              <m:t>F</m:t>
            </m:r>
            <m:r>
              <m:rPr>
                <m:sty m:val="p"/>
              </m:rPr>
              <m:t>|</m:t>
            </m:r>
          </m:sup>
        </m:sSup>
      </m:oMath>
      <w:r>
        <w:t xml:space="preserve"> </w:t>
      </w:r>
      <w:r>
        <w:t xml:space="preserve">distinct minimum cuts.</w:t>
      </w:r>
    </w:p>
    <w:p>
      <w:pPr>
        <w:pStyle w:val="BodyText"/>
      </w:pPr>
      <w:r>
        <w:t xml:space="preserve">Two edge sets are then derived:</w:t>
      </w:r>
    </w:p>
    <w:p>
      <w:pPr>
        <w:pStyle w:val="BodyText"/>
      </w:pPr>
      <m:oMathPara>
        <m:oMathParaPr>
          <m:jc m:val="center"/>
        </m:oMathParaPr>
        <m:oMath>
          <m:sSub>
            <m:e>
              <m:r>
                <m:t>E</m:t>
              </m:r>
            </m:e>
            <m:sub>
              <m:r>
                <m:rPr>
                  <m:nor/>
                  <m:sty m:val="p"/>
                </m:rPr>
                <m:t>some</m:t>
              </m:r>
            </m:sub>
          </m:sSub>
          <m:r>
            <m:rPr>
              <m:sty m:val="p"/>
            </m:rPr>
            <m:t>=</m:t>
          </m:r>
          <m:r>
            <m:rPr>
              <m:sty m:val="p"/>
            </m:rPr>
            <m:t>{</m:t>
          </m:r>
          <m:r>
            <m:rPr>
              <m:sty m:val="p"/>
            </m:rPr>
            <m:t>(</m:t>
          </m:r>
          <m:r>
            <m:t>u</m:t>
          </m:r>
          <m:r>
            <m:rPr>
              <m:sty m:val="p"/>
            </m:rPr>
            <m:t>,</m:t>
          </m:r>
          <m:r>
            <m:t>v</m:t>
          </m:r>
          <m:r>
            <m:rPr>
              <m:sty m:val="p"/>
            </m:rPr>
            <m:t>)</m:t>
          </m:r>
          <m:r>
            <m:rPr>
              <m:sty m:val="p"/>
            </m:rPr>
            <m:t>∈</m:t>
          </m:r>
          <m:r>
            <m:t>E</m:t>
          </m:r>
          <m:r>
            <m:rPr>
              <m:sty m:val="p"/>
            </m:rPr>
            <m:t>:</m:t>
          </m:r>
          <m:sSubSup>
            <m:e>
              <m:r>
                <m:t>f</m:t>
              </m:r>
            </m:e>
            <m:sub>
              <m:r>
                <m:t>u</m:t>
              </m:r>
              <m:r>
                <m:t>v</m:t>
              </m:r>
            </m:sub>
            <m:sup>
              <m:r>
                <m:rPr>
                  <m:sty m:val="p"/>
                </m:rPr>
                <m:t>⋆</m:t>
              </m:r>
            </m:sup>
          </m:sSubSup>
          <m:r>
            <m:rPr>
              <m:sty m:val="p"/>
            </m:rPr>
            <m:t>=</m:t>
          </m:r>
          <m:sSub>
            <m:e>
              <m:r>
                <m:t>c</m:t>
              </m:r>
            </m:e>
            <m:sub>
              <m:r>
                <m:t>u</m:t>
              </m:r>
              <m:r>
                <m:t>v</m:t>
              </m:r>
            </m:sub>
          </m:sSub>
          <m:r>
            <m:rPr>
              <m:sty m:val="p"/>
            </m:rPr>
            <m:t>,</m:t>
          </m:r>
          <m:r>
            <m:t> </m:t>
          </m:r>
          <m:r>
            <m:t>u</m:t>
          </m:r>
          <m:r>
            <m:rPr>
              <m:sty m:val="p"/>
            </m:rPr>
            <m:t>∈</m:t>
          </m:r>
          <m:sSup>
            <m:e>
              <m:r>
                <m:t>S</m:t>
              </m:r>
            </m:e>
            <m:sup>
              <m:r>
                <m:rPr>
                  <m:sty m:val="p"/>
                </m:rPr>
                <m:t>⋆</m:t>
              </m:r>
              <m:r>
                <m:rPr>
                  <m:sty m:val="p"/>
                </m:rPr>
                <m:t>⋆</m:t>
              </m:r>
            </m:sup>
          </m:sSup>
          <m:r>
            <m:rPr>
              <m:sty m:val="p"/>
            </m:rPr>
            <m:t>,</m:t>
          </m:r>
          <m:r>
            <m:t> </m:t>
          </m:r>
          <m:r>
            <m:t>v</m:t>
          </m:r>
          <m:r>
            <m:rPr>
              <m:sty m:val="p"/>
            </m:rPr>
            <m:t>∉</m:t>
          </m:r>
          <m:sSup>
            <m:e>
              <m:r>
                <m:t>S</m:t>
              </m:r>
            </m:e>
            <m:sup>
              <m:r>
                <m:rPr>
                  <m:sty m:val="p"/>
                </m:rPr>
                <m:t>⋆</m:t>
              </m:r>
            </m:sup>
          </m:sSup>
          <m:r>
            <m:rPr>
              <m:sty m:val="p"/>
            </m:rPr>
            <m:t>}</m:t>
          </m:r>
          <m:r>
            <m:rPr>
              <m:sty m:val="p"/>
            </m:rPr>
            <m:t>,</m:t>
          </m:r>
        </m:oMath>
      </m:oMathPara>
    </w:p>
    <w:p>
      <w:pPr>
        <w:pStyle w:val="FirstParagraph"/>
      </w:pPr>
      <w:r>
        <w:t xml:space="preserve">the set of edges appearing in at least one minimum cut, and</w:t>
      </w:r>
    </w:p>
    <w:p>
      <w:pPr>
        <w:pStyle w:val="BodyText"/>
      </w:pPr>
      <m:oMathPara>
        <m:oMathParaPr>
          <m:jc m:val="center"/>
        </m:oMathParaPr>
        <m:oMath>
          <m:sSub>
            <m:e>
              <m:r>
                <m:t>E</m:t>
              </m:r>
            </m:e>
            <m:sub>
              <m:r>
                <m:rPr>
                  <m:nor/>
                  <m:sty m:val="p"/>
                </m:rPr>
                <m:t>every</m:t>
              </m:r>
            </m:sub>
          </m:sSub>
          <m:r>
            <m:rPr>
              <m:sty m:val="p"/>
            </m:rPr>
            <m:t>=</m:t>
          </m:r>
          <m:r>
            <m:rPr>
              <m:sty m:val="p"/>
            </m:rPr>
            <m:t>{</m:t>
          </m:r>
          <m:r>
            <m:rPr>
              <m:sty m:val="p"/>
            </m:rPr>
            <m:t>(</m:t>
          </m:r>
          <m:r>
            <m:t>u</m:t>
          </m:r>
          <m:r>
            <m:rPr>
              <m:sty m:val="p"/>
            </m:rPr>
            <m:t>,</m:t>
          </m:r>
          <m:r>
            <m:t>v</m:t>
          </m:r>
          <m:r>
            <m:rPr>
              <m:sty m:val="p"/>
            </m:rPr>
            <m:t>)</m:t>
          </m:r>
          <m:r>
            <m:rPr>
              <m:sty m:val="p"/>
            </m:rPr>
            <m:t>∈</m:t>
          </m:r>
          <m:r>
            <m:t>E</m:t>
          </m:r>
          <m:r>
            <m:rPr>
              <m:sty m:val="p"/>
            </m:rPr>
            <m:t>:</m:t>
          </m:r>
          <m:sSubSup>
            <m:e>
              <m:r>
                <m:t>f</m:t>
              </m:r>
            </m:e>
            <m:sub>
              <m:r>
                <m:t>u</m:t>
              </m:r>
              <m:r>
                <m:t>v</m:t>
              </m:r>
            </m:sub>
            <m:sup>
              <m:r>
                <m:rPr>
                  <m:sty m:val="p"/>
                </m:rPr>
                <m:t>⋆</m:t>
              </m:r>
            </m:sup>
          </m:sSubSup>
          <m:r>
            <m:rPr>
              <m:sty m:val="p"/>
            </m:rPr>
            <m:t>=</m:t>
          </m:r>
          <m:sSub>
            <m:e>
              <m:r>
                <m:t>c</m:t>
              </m:r>
            </m:e>
            <m:sub>
              <m:r>
                <m:t>u</m:t>
              </m:r>
              <m:r>
                <m:t>v</m:t>
              </m:r>
            </m:sub>
          </m:sSub>
          <m:r>
            <m:rPr>
              <m:sty m:val="p"/>
            </m:rPr>
            <m:t>,</m:t>
          </m:r>
          <m:r>
            <m:t> </m:t>
          </m:r>
          <m:r>
            <m:t>u</m:t>
          </m:r>
          <m:r>
            <m:rPr>
              <m:sty m:val="p"/>
            </m:rPr>
            <m:t>∈</m:t>
          </m:r>
          <m:sSup>
            <m:e>
              <m:r>
                <m:t>S</m:t>
              </m:r>
            </m:e>
            <m:sup>
              <m:r>
                <m:rPr>
                  <m:sty m:val="p"/>
                </m:rPr>
                <m:t>⋆</m:t>
              </m:r>
            </m:sup>
          </m:sSup>
          <m:r>
            <m:rPr>
              <m:sty m:val="p"/>
            </m:rPr>
            <m:t>,</m:t>
          </m:r>
          <m:r>
            <m:t> </m:t>
          </m:r>
          <m:r>
            <m:t>v</m:t>
          </m:r>
          <m:r>
            <m:rPr>
              <m:sty m:val="p"/>
            </m:rPr>
            <m:t>∈</m:t>
          </m:r>
          <m:sSup>
            <m:e>
              <m:r>
                <m:t>T</m:t>
              </m:r>
            </m:e>
            <m:sup>
              <m:r>
                <m:rPr>
                  <m:sty m:val="p"/>
                </m:rPr>
                <m:t>⋆</m:t>
              </m:r>
              <m:r>
                <m:rPr>
                  <m:sty m:val="p"/>
                </m:rPr>
                <m:t>⋆</m:t>
              </m:r>
            </m:sup>
          </m:sSup>
          <m:r>
            <m:rPr>
              <m:sty m:val="p"/>
            </m:rPr>
            <m:t>}</m:t>
          </m:r>
          <m:r>
            <m:rPr>
              <m:sty m:val="p"/>
            </m:rPr>
            <m:t>,</m:t>
          </m:r>
        </m:oMath>
      </m:oMathPara>
    </w:p>
    <w:p>
      <w:pPr>
        <w:pStyle w:val="FirstParagraph"/>
      </w:pPr>
      <w:r>
        <w:t xml:space="preserve">where</w:t>
      </w:r>
      <w:r>
        <w:t xml:space="preserve"> </w:t>
      </w:r>
      <m:oMath>
        <m:sSup>
          <m:e>
            <m:r>
              <m:t>T</m:t>
            </m:r>
          </m:e>
          <m:sup>
            <m:r>
              <m:rPr>
                <m:sty m:val="p"/>
              </m:rPr>
              <m:t>⋆</m:t>
            </m:r>
            <m:r>
              <m:rPr>
                <m:sty m:val="p"/>
              </m:rPr>
              <m:t>⋆</m:t>
            </m:r>
          </m:sup>
        </m:sSup>
        <m:r>
          <m:rPr>
            <m:sty m:val="p"/>
          </m:rPr>
          <m:t>=</m:t>
        </m:r>
        <m:r>
          <m:t>V</m:t>
        </m:r>
        <m:r>
          <m:rPr>
            <m:sty m:val="p"/>
          </m:rPr>
          <m:t>\</m:t>
        </m:r>
        <m:sSup>
          <m:e>
            <m:r>
              <m:t>S</m:t>
            </m:r>
          </m:e>
          <m:sup>
            <m:r>
              <m:rPr>
                <m:sty m:val="p"/>
              </m:rPr>
              <m:t>⋆</m:t>
            </m:r>
            <m:r>
              <m:rPr>
                <m:sty m:val="p"/>
              </m:rPr>
              <m:t>⋆</m:t>
            </m:r>
          </m:sup>
        </m:sSup>
      </m:oMath>
      <w:r>
        <w:t xml:space="preserve">, the set of edges appearing in every minimum cut. By construction,</w:t>
      </w:r>
    </w:p>
    <w:p>
      <w:pPr>
        <w:pStyle w:val="BodyText"/>
      </w:pPr>
      <m:oMathPara>
        <m:oMathParaPr>
          <m:jc m:val="center"/>
        </m:oMathParaPr>
        <m:oMath>
          <m:sSub>
            <m:e>
              <m:r>
                <m:t>E</m:t>
              </m:r>
            </m:e>
            <m:sub>
              <m:r>
                <m:rPr>
                  <m:nor/>
                  <m:sty m:val="p"/>
                </m:rPr>
                <m:t>every</m:t>
              </m:r>
            </m:sub>
          </m:sSub>
          <m:r>
            <m:rPr>
              <m:sty m:val="p"/>
            </m:rPr>
            <m:t>⊆</m:t>
          </m:r>
          <m:sSub>
            <m:e>
              <m:r>
                <m:t>E</m:t>
              </m:r>
            </m:e>
            <m:sub>
              <m:r>
                <m:rPr>
                  <m:nor/>
                  <m:sty m:val="p"/>
                </m:rPr>
                <m:t>some</m:t>
              </m:r>
            </m:sub>
          </m:sSub>
          <m:r>
            <m:rPr>
              <m:sty m:val="p"/>
            </m:rPr>
            <m:t>.</m:t>
          </m:r>
        </m:oMath>
      </m:oMathPara>
    </w:p>
    <w:p>
      <w:pPr>
        <w:pStyle w:val="FirstParagraph"/>
      </w:pPr>
      <w:r>
        <w:t xml:space="preserve">These quantities allow the toolkit to distinguish between bottlenecks that are structurally rigid and bottlenecks that are distributed across several equivalent cut configurations.</w:t>
      </w:r>
    </w:p>
    <w:bookmarkStart w:id="24" w:name="minimum-cut-enumeration"/>
    <w:p>
      <w:pPr>
        <w:pStyle w:val="Heading3"/>
      </w:pPr>
      <w:r>
        <w:rPr>
          <w:rStyle w:val="SectionNumber"/>
        </w:rPr>
        <w:t xml:space="preserve">4.2.1</w:t>
      </w:r>
      <w:r>
        <w:tab/>
      </w:r>
      <w:r>
        <w:t xml:space="preserve">Minimum-Cut Enumeration</w:t>
      </w:r>
    </w:p>
    <w:p>
      <w:pPr>
        <w:pStyle w:val="FirstParagraph"/>
      </w:pPr>
      <w:r>
        <w:t xml:space="preserve">When the free zone is non-empty, the toolkit can enumerate valid minimum cuts by iterating over subsets</w:t>
      </w:r>
      <w:r>
        <w:t xml:space="preserve"> </w:t>
      </w:r>
      <m:oMath>
        <m:r>
          <m:t>R</m:t>
        </m:r>
        <m:r>
          <m:rPr>
            <m:sty m:val="p"/>
          </m:rPr>
          <m:t>⊆</m:t>
        </m:r>
        <m:r>
          <m:rPr>
            <m:scr m:val="script"/>
            <m:sty m:val="p"/>
          </m:rPr>
          <m:t>F</m:t>
        </m:r>
      </m:oMath>
      <w:r>
        <w:t xml:space="preserve">. Since each subset defines a distinct cut</w:t>
      </w:r>
      <w:r>
        <w:t xml:space="preserve"> </w:t>
      </w:r>
      <m:oMath>
        <m:sSup>
          <m:e>
            <m:r>
              <m:t>S</m:t>
            </m:r>
          </m:e>
          <m:sup>
            <m:r>
              <m:rPr>
                <m:sty m:val="p"/>
              </m:rPr>
              <m:t>⋆</m:t>
            </m:r>
          </m:sup>
        </m:sSup>
        <m:r>
          <m:rPr>
            <m:sty m:val="p"/>
          </m:rPr>
          <m:t>∪</m:t>
        </m:r>
        <m:r>
          <m:t>R</m:t>
        </m:r>
      </m:oMath>
      <w:r>
        <w:t xml:space="preserve">, enumeration is exact within the cut lattice. To prevent combinatorial explosion in highly symmetric networks, enumeration is bounded by a user-defined</w:t>
      </w:r>
      <w:r>
        <w:t xml:space="preserve"> </w:t>
      </w:r>
      <w:r>
        <w:rPr>
          <w:rStyle w:val="VerbatimChar"/>
        </w:rPr>
        <w:t xml:space="preserve">cut_limit</w:t>
      </w:r>
      <w:r>
        <w:t xml:space="preserve">. If the total number of cuts is below this limit, all are returned; otherwise, the module returns the first</w:t>
      </w:r>
      <w:r>
        <w:t xml:space="preserve"> </w:t>
      </w:r>
      <w:r>
        <w:rPr>
          <w:rStyle w:val="VerbatimChar"/>
        </w:rPr>
        <w:t xml:space="preserve">cut_limit</w:t>
      </w:r>
      <w:r>
        <w:t xml:space="preserve"> </w:t>
      </w:r>
      <w:r>
        <w:t xml:space="preserve">cuts together with a completion flag.</w:t>
      </w:r>
    </w:p>
    <w:bookmarkEnd w:id="24"/>
    <w:bookmarkEnd w:id="25"/>
    <w:bookmarkStart w:id="29" w:name="structural-diagnostics"/>
    <w:p>
      <w:pPr>
        <w:pStyle w:val="Heading2"/>
      </w:pPr>
      <w:r>
        <w:rPr>
          <w:rStyle w:val="SectionNumber"/>
        </w:rPr>
        <w:t xml:space="preserve">4.3</w:t>
      </w:r>
      <w:r>
        <w:tab/>
      </w:r>
      <w:r>
        <w:t xml:space="preserve">Structural Diagnostics</w:t>
      </w:r>
    </w:p>
    <w:p>
      <w:pPr>
        <w:pStyle w:val="BlockText"/>
      </w:pPr>
      <w:r>
        <w:rPr>
          <w:b/>
          <w:bCs/>
        </w:rPr>
        <w:t xml:space="preserve">Motivating question:</w:t>
      </w:r>
      <w:r>
        <w:t xml:space="preserve"> </w:t>
      </w:r>
      <w:r>
        <w:rPr>
          <w:i/>
          <w:iCs/>
        </w:rPr>
        <w:t xml:space="preserve">Where is the network structurally fragile, independent of current capacities?</w:t>
      </w:r>
    </w:p>
    <w:p>
      <w:pPr>
        <w:pStyle w:val="FirstParagraph"/>
      </w:pPr>
      <w:r>
        <w:t xml:space="preserve">Whereas the min-cut module is driven by the solved flow state, the structural module interrogates the topology of the DAG itself. Its purpose is to identify vulnerabilities that arise from graph structure rather than from the current numerical capacity assignment.</w:t>
      </w:r>
    </w:p>
    <w:bookmarkStart w:id="26" w:name="path-enumeration."/>
    <w:p>
      <w:pPr>
        <w:pStyle w:val="Heading4"/>
      </w:pPr>
      <w:r>
        <w:rPr>
          <w:rStyle w:val="SectionNumber"/>
        </w:rPr>
        <w:t xml:space="preserve">4.3.0.1</w:t>
      </w:r>
      <w:r>
        <w:tab/>
      </w:r>
      <w:r>
        <w:t xml:space="preserve">Path enumeration.</w:t>
      </w:r>
    </w:p>
    <w:p>
      <w:pPr>
        <w:pStyle w:val="FirstParagraph"/>
      </w:pPr>
      <w:r>
        <w:t xml:space="preserve">Since the network is acyclic, exact source-to-sink path enumeration is finite. The toolkit therefore exposes a depth-first path enumerator based on the topological order inherited from the shared graph object. In highly redundant networks, the number of paths may still be exponential, so enumeration is bounded through a</w:t>
      </w:r>
      <w:r>
        <w:t xml:space="preserve"> </w:t>
      </w:r>
      <w:r>
        <w:rPr>
          <w:rStyle w:val="VerbatimChar"/>
        </w:rPr>
        <w:t xml:space="preserve">path_limit</w:t>
      </w:r>
      <w:r>
        <w:t xml:space="preserve"> </w:t>
      </w:r>
      <w:r>
        <w:t xml:space="preserve">parameter when required.</w:t>
      </w:r>
    </w:p>
    <w:bookmarkEnd w:id="26"/>
    <w:bookmarkStart w:id="27" w:name="flow-decomposition."/>
    <w:p>
      <w:pPr>
        <w:pStyle w:val="Heading4"/>
      </w:pPr>
      <w:r>
        <w:rPr>
          <w:rStyle w:val="SectionNumber"/>
        </w:rPr>
        <w:t xml:space="preserve">4.3.0.2</w:t>
      </w:r>
      <w:r>
        <w:tab/>
      </w:r>
      <w:r>
        <w:t xml:space="preserve">Flow decomposition.</w:t>
      </w:r>
    </w:p>
    <w:p>
      <w:pPr>
        <w:pStyle w:val="FirstParagraph"/>
      </w:pPr>
      <w:r>
        <w:t xml:space="preserve">Once a baseline flow</w:t>
      </w:r>
      <w:r>
        <w:t xml:space="preserve"> </w:t>
      </w:r>
      <m:oMath>
        <m:sSup>
          <m:e>
            <m:r>
              <m:t>f</m:t>
            </m:r>
          </m:e>
          <m:sup>
            <m:r>
              <m:rPr>
                <m:sty m:val="p"/>
              </m:rPr>
              <m:t>⋆</m:t>
            </m:r>
          </m:sup>
        </m:sSup>
      </m:oMath>
      <w:r>
        <w:t xml:space="preserve"> </w:t>
      </w:r>
      <w:r>
        <w:t xml:space="preserve">has been computed, the toolkit can rank source-to-sink paths by their realised contribution to throughput. For each path</w:t>
      </w:r>
    </w:p>
    <w:p>
      <w:pPr>
        <w:pStyle w:val="BodyText"/>
      </w:pPr>
      <m:oMathPara>
        <m:oMathParaPr>
          <m:jc m:val="center"/>
        </m:oMathParaPr>
        <m:oMath>
          <m:r>
            <m:t>P</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r>
            <m:rPr>
              <m:sty m:val="p"/>
            </m:rPr>
            <m:t>,</m:t>
          </m:r>
        </m:oMath>
      </m:oMathPara>
    </w:p>
    <w:p>
      <w:pPr>
        <w:pStyle w:val="FirstParagraph"/>
      </w:pPr>
      <w:r>
        <w:t xml:space="preserve">the path contribution is defined by its bottleneck flow</w:t>
      </w:r>
    </w:p>
    <w:p>
      <w:pPr>
        <w:pStyle w:val="BodyText"/>
      </w:pPr>
      <m:oMathPara>
        <m:oMathParaPr>
          <m:jc m:val="center"/>
        </m:oMathParaPr>
        <m:oMath>
          <m:r>
            <m:t>ϕ</m:t>
          </m:r>
          <m:r>
            <m:rPr>
              <m:sty m:val="p"/>
            </m:rPr>
            <m:t>(</m:t>
          </m:r>
          <m:r>
            <m:t>P</m:t>
          </m:r>
          <m:r>
            <m:rPr>
              <m:sty m:val="p"/>
            </m:rPr>
            <m:t>)</m:t>
          </m:r>
          <m:r>
            <m:rPr>
              <m:sty m:val="p"/>
            </m:rPr>
            <m:t>=</m:t>
          </m:r>
          <m:limLow>
            <m:e>
              <m:r>
                <m:rPr>
                  <m:sty m:val="p"/>
                </m:rPr>
                <m:t>min</m:t>
              </m:r>
            </m:e>
            <m:lim>
              <m:r>
                <m:t>i</m:t>
              </m:r>
            </m:lim>
          </m:limLow>
          <m:sSubSup>
            <m:e>
              <m:r>
                <m:t>f</m:t>
              </m:r>
            </m:e>
            <m:sub>
              <m:sSub>
                <m:e>
                  <m:r>
                    <m:t>v</m:t>
                  </m:r>
                </m:e>
                <m:sub>
                  <m:r>
                    <m:t>i</m:t>
                  </m:r>
                </m:sub>
              </m:sSub>
              <m:sSub>
                <m:e>
                  <m:r>
                    <m:t>v</m:t>
                  </m:r>
                </m:e>
                <m:sub>
                  <m:r>
                    <m:t>i</m:t>
                  </m:r>
                  <m:r>
                    <m:rPr>
                      <m:sty m:val="p"/>
                    </m:rPr>
                    <m:t>+</m:t>
                  </m:r>
                  <m:r>
                    <m:t>1</m:t>
                  </m:r>
                </m:sub>
              </m:sSub>
            </m:sub>
            <m:sup>
              <m:r>
                <m:rPr>
                  <m:sty m:val="p"/>
                </m:rPr>
                <m:t>⋆</m:t>
              </m:r>
            </m:sup>
          </m:sSubSup>
          <m:r>
            <m:rPr>
              <m:sty m:val="p"/>
            </m:rPr>
            <m:t>.</m:t>
          </m:r>
        </m:oMath>
      </m:oMathPara>
    </w:p>
    <w:p>
      <w:pPr>
        <w:pStyle w:val="FirstParagraph"/>
      </w:pPr>
      <w:r>
        <w:t xml:space="preserve">Sorting paths in descending order of</w:t>
      </w:r>
      <w:r>
        <w:t xml:space="preserve"> </w:t>
      </w:r>
      <m:oMath>
        <m:r>
          <m:t>ϕ</m:t>
        </m:r>
        <m:r>
          <m:rPr>
            <m:sty m:val="p"/>
          </m:rPr>
          <m:t>(</m:t>
        </m:r>
        <m:r>
          <m:t>P</m:t>
        </m:r>
        <m:r>
          <m:rPr>
            <m:sty m:val="p"/>
          </m:rPr>
          <m:t>)</m:t>
        </m:r>
      </m:oMath>
      <w:r>
        <w:t xml:space="preserve"> </w:t>
      </w:r>
      <w:r>
        <w:t xml:space="preserve">provides a route-level decomposition of the solved flow, exposing how total throughput is distributed across structurally distinct paths.</w:t>
      </w:r>
    </w:p>
    <w:bookmarkEnd w:id="27"/>
    <w:bookmarkStart w:id="28" w:name="structural-single-points-of-failure."/>
    <w:p>
      <w:pPr>
        <w:pStyle w:val="Heading4"/>
      </w:pPr>
      <w:r>
        <w:rPr>
          <w:rStyle w:val="SectionNumber"/>
        </w:rPr>
        <w:t xml:space="preserve">4.3.0.3</w:t>
      </w:r>
      <w:r>
        <w:tab/>
      </w:r>
      <w:r>
        <w:t xml:space="preserve">Structural single points of failure.</w:t>
      </w:r>
    </w:p>
    <w:p>
      <w:pPr>
        <w:pStyle w:val="FirstParagraph"/>
      </w:pPr>
      <w:r>
        <w:t xml:space="preserve">A node</w:t>
      </w:r>
      <w:r>
        <w:t xml:space="preserve"> </w:t>
      </w:r>
      <m:oMath>
        <m:r>
          <m:t>v</m:t>
        </m:r>
        <m:r>
          <m:rPr>
            <m:sty m:val="p"/>
          </m:rPr>
          <m:t>∈</m:t>
        </m:r>
        <m:r>
          <m:t>V</m:t>
        </m:r>
        <m:r>
          <m:rPr>
            <m:sty m:val="p"/>
          </m:rPr>
          <m:t>\</m:t>
        </m:r>
        <m:r>
          <m:rPr>
            <m:sty m:val="p"/>
          </m:rPr>
          <m:t>(</m:t>
        </m:r>
        <m:r>
          <m:t>S</m:t>
        </m:r>
        <m:r>
          <m:rPr>
            <m:sty m:val="p"/>
          </m:rPr>
          <m:t>∪</m:t>
        </m:r>
        <m:r>
          <m:t>T</m:t>
        </m:r>
        <m:r>
          <m:rPr>
            <m:sty m:val="p"/>
          </m:rPr>
          <m:t>)</m:t>
        </m:r>
      </m:oMath>
      <w:r>
        <w:t xml:space="preserve"> </w:t>
      </w:r>
      <w:r>
        <w:t xml:space="preserve">is defined as a structural single point of failure if removing</w:t>
      </w:r>
      <w:r>
        <w:t xml:space="preserve"> </w:t>
      </w:r>
      <m:oMath>
        <m:r>
          <m:t>v</m:t>
        </m:r>
      </m:oMath>
      <w:r>
        <w:t xml:space="preserve"> </w:t>
      </w:r>
      <w:r>
        <w:t xml:space="preserve">and all incident edges disconnects the source set from the sink set:</w:t>
      </w:r>
    </w:p>
    <w:p>
      <w:pPr>
        <w:pStyle w:val="BodyText"/>
      </w:pPr>
      <m:oMathPara>
        <m:oMathParaPr>
          <m:jc m:val="center"/>
        </m:oMathParaPr>
        <m:oMath>
          <m:sSup>
            <m:e>
              <m:r>
                <m:t>F</m:t>
              </m:r>
            </m:e>
            <m:sup>
              <m:r>
                <m:rPr>
                  <m:sty m:val="p"/>
                </m:rPr>
                <m:t>⋆</m:t>
              </m:r>
            </m:sup>
          </m:sSup>
          <m:r>
            <m:rPr>
              <m:sty m:val="p"/>
            </m:rPr>
            <m:t>(</m:t>
          </m:r>
          <m:r>
            <m:t>G</m:t>
          </m:r>
          <m:r>
            <m:rPr>
              <m:sty m:val="p"/>
            </m:rPr>
            <m:t>\</m:t>
          </m:r>
          <m:r>
            <m:rPr>
              <m:sty m:val="p"/>
            </m:rPr>
            <m:t>{</m:t>
          </m:r>
          <m:r>
            <m:t>v</m:t>
          </m:r>
          <m:r>
            <m:rPr>
              <m:sty m:val="p"/>
            </m:rPr>
            <m:t>}</m:t>
          </m:r>
          <m:r>
            <m:rPr>
              <m:sty m:val="p"/>
            </m:rPr>
            <m:t>)</m:t>
          </m:r>
          <m:r>
            <m:rPr>
              <m:sty m:val="p"/>
            </m:rPr>
            <m:t>=</m:t>
          </m:r>
          <m:r>
            <m:t>0</m:t>
          </m:r>
          <m:r>
            <m:rPr>
              <m:sty m:val="p"/>
            </m:rPr>
            <m:t>.</m:t>
          </m:r>
        </m:oMath>
      </m:oMathPara>
    </w:p>
    <w:p>
      <w:pPr>
        <w:pStyle w:val="FirstParagraph"/>
      </w:pPr>
      <w:r>
        <w:t xml:space="preserve">To reduce unnecessary work, the candidate set is restricted to nodes lying on at least one source-to-sink path,</w:t>
      </w:r>
    </w:p>
    <w:p>
      <w:pPr>
        <w:pStyle w:val="BodyText"/>
      </w:pPr>
      <m:oMathPara>
        <m:oMathParaPr>
          <m:jc m:val="center"/>
        </m:oMathParaPr>
        <m:oMath>
          <m:r>
            <m:rPr>
              <m:scr m:val="script"/>
              <m:sty m:val="p"/>
            </m:rPr>
            <m:t>C</m:t>
          </m:r>
          <m:r>
            <m:rPr>
              <m:sty m:val="p"/>
            </m:rPr>
            <m:t>=</m:t>
          </m:r>
          <m:d>
            <m:dPr>
              <m:begChr m:val="("/>
              <m:sepChr m:val=""/>
              <m:endChr m:val=")"/>
              <m:grow/>
            </m:dPr>
            <m:e>
              <m:r>
                <m:rPr>
                  <m:sty m:val="p"/>
                </m:rPr>
                <m:t>fwd</m:t>
              </m:r>
              <m:r>
                <m:rPr>
                  <m:sty m:val="p"/>
                </m:rPr>
                <m:t>(</m:t>
              </m:r>
              <m:r>
                <m:t>S</m:t>
              </m:r>
              <m:r>
                <m:rPr>
                  <m:sty m:val="p"/>
                </m:rPr>
                <m:t>)</m:t>
              </m:r>
              <m:r>
                <m:rPr>
                  <m:sty m:val="p"/>
                </m:rPr>
                <m:t>∩</m:t>
              </m:r>
              <m:r>
                <m:rPr>
                  <m:sty m:val="p"/>
                </m:rPr>
                <m:t>bwd</m:t>
              </m:r>
              <m:r>
                <m:rPr>
                  <m:sty m:val="p"/>
                </m:rPr>
                <m:t>(</m:t>
              </m:r>
              <m:r>
                <m:t>T</m:t>
              </m:r>
              <m:r>
                <m:rPr>
                  <m:sty m:val="p"/>
                </m:rPr>
                <m:t>)</m:t>
              </m:r>
            </m:e>
          </m:d>
          <m:r>
            <m:rPr>
              <m:sty m:val="p"/>
            </m:rPr>
            <m:t>\</m:t>
          </m:r>
          <m:r>
            <m:rPr>
              <m:sty m:val="p"/>
            </m:rPr>
            <m:t>(</m:t>
          </m:r>
          <m:r>
            <m:t>S</m:t>
          </m:r>
          <m:r>
            <m:rPr>
              <m:sty m:val="p"/>
            </m:rPr>
            <m:t>∪</m:t>
          </m:r>
          <m:r>
            <m:t>T</m:t>
          </m:r>
          <m:r>
            <m:rPr>
              <m:sty m:val="p"/>
            </m:rPr>
            <m:t>)</m:t>
          </m:r>
          <m:r>
            <m:rPr>
              <m:sty m:val="p"/>
            </m:rPr>
            <m:t>,</m:t>
          </m:r>
        </m:oMath>
      </m:oMathPara>
    </w:p>
    <w:p>
      <w:pPr>
        <w:pStyle w:val="FirstParagraph"/>
      </w:pPr>
      <w:r>
        <w:t xml:space="preserve">where</w:t>
      </w:r>
      <w:r>
        <w:t xml:space="preserve"> </w:t>
      </w:r>
      <m:oMath>
        <m:r>
          <m:rPr>
            <m:sty m:val="p"/>
          </m:rPr>
          <m:t>fwd</m:t>
        </m:r>
        <m:r>
          <m:rPr>
            <m:sty m:val="p"/>
          </m:rPr>
          <m:t>(</m:t>
        </m:r>
        <m:r>
          <m:t>S</m:t>
        </m:r>
        <m:r>
          <m:rPr>
            <m:sty m:val="p"/>
          </m:rPr>
          <m:t>)</m:t>
        </m:r>
      </m:oMath>
      <w:r>
        <w:t xml:space="preserve"> </w:t>
      </w:r>
      <w:r>
        <w:t xml:space="preserve">and</w:t>
      </w:r>
      <w:r>
        <w:t xml:space="preserve"> </w:t>
      </w:r>
      <m:oMath>
        <m:r>
          <m:rPr>
            <m:sty m:val="p"/>
          </m:rPr>
          <m:t>bwd</m:t>
        </m:r>
        <m:r>
          <m:rPr>
            <m:sty m:val="p"/>
          </m:rPr>
          <m:t>(</m:t>
        </m:r>
        <m:r>
          <m:t>T</m:t>
        </m:r>
        <m:r>
          <m:rPr>
            <m:sty m:val="p"/>
          </m:rPr>
          <m:t>)</m:t>
        </m:r>
      </m:oMath>
      <w:r>
        <w:t xml:space="preserve"> </w:t>
      </w:r>
      <w:r>
        <w:t xml:space="preserve">are the forward- and backward-reachable node sets, respectively. For each</w:t>
      </w:r>
      <w:r>
        <w:t xml:space="preserve"> </w:t>
      </w:r>
      <m:oMath>
        <m:r>
          <m:t>v</m:t>
        </m:r>
        <m:r>
          <m:rPr>
            <m:sty m:val="p"/>
          </m:rPr>
          <m:t>∈</m:t>
        </m:r>
        <m:r>
          <m:rPr>
            <m:scr m:val="script"/>
            <m:sty m:val="p"/>
          </m:rPr>
          <m:t>C</m:t>
        </m:r>
      </m:oMath>
      <w:r>
        <w:t xml:space="preserve">, a BFS is run on the graph with</w:t>
      </w:r>
      <w:r>
        <w:t xml:space="preserve"> </w:t>
      </w:r>
      <m:oMath>
        <m:r>
          <m:t>v</m:t>
        </m:r>
      </m:oMath>
      <w:r>
        <w:t xml:space="preserve"> </w:t>
      </w:r>
      <w:r>
        <w:t xml:space="preserve">removed. If no sink remains reachable from any source,</w:t>
      </w:r>
      <w:r>
        <w:t xml:space="preserve"> </w:t>
      </w:r>
      <m:oMath>
        <m:r>
          <m:t>v</m:t>
        </m:r>
      </m:oMath>
      <w:r>
        <w:t xml:space="preserve"> </w:t>
      </w:r>
      <w:r>
        <w:t xml:space="preserve">is recorded as a structural SPOF node.</w:t>
      </w:r>
    </w:p>
    <w:p>
      <w:pPr>
        <w:pStyle w:val="BodyText"/>
      </w:pPr>
      <w:r>
        <w:t xml:space="preserve">This distinction is important because a node may be flow-limiting without being structurally indispensable, and vice versa.</w:t>
      </w:r>
    </w:p>
    <w:bookmarkEnd w:id="28"/>
    <w:bookmarkEnd w:id="29"/>
    <w:bookmarkStart w:id="33" w:name="flow-sensitivity-module"/>
    <w:p>
      <w:pPr>
        <w:pStyle w:val="Heading2"/>
      </w:pPr>
      <w:r>
        <w:rPr>
          <w:rStyle w:val="SectionNumber"/>
        </w:rPr>
        <w:t xml:space="preserve">4.4</w:t>
      </w:r>
      <w:r>
        <w:tab/>
      </w:r>
      <w:r>
        <w:t xml:space="preserve">Flow Sensitivity Module</w:t>
      </w:r>
    </w:p>
    <w:p>
      <w:pPr>
        <w:pStyle w:val="BlockText"/>
      </w:pPr>
      <w:r>
        <w:rPr>
          <w:b/>
          <w:bCs/>
        </w:rPr>
        <w:t xml:space="preserve">Motivating question:</w:t>
      </w:r>
      <w:r>
        <w:t xml:space="preserve"> </w:t>
      </w:r>
      <w:r>
        <w:rPr>
          <w:i/>
          <w:iCs/>
        </w:rPr>
        <w:t xml:space="preserve">Which components most constrain deliverable throughput, and by how much?</w:t>
      </w:r>
    </w:p>
    <w:p>
      <w:pPr>
        <w:pStyle w:val="FirstParagraph"/>
      </w:pPr>
      <w:r>
        <w:t xml:space="preserve">At optimality, the edge set partitions into:</w:t>
      </w:r>
    </w:p>
    <w:p>
      <w:pPr>
        <w:numPr>
          <w:ilvl w:val="0"/>
          <w:numId w:val="1007"/>
        </w:numPr>
      </w:pPr>
      <w:r>
        <w:rPr>
          <w:i/>
          <w:iCs/>
        </w:rPr>
        <w:t xml:space="preserve">saturated edges</w:t>
      </w:r>
      <w:r>
        <w:t xml:space="preserve">, for which</w:t>
      </w:r>
      <w:r>
        <w:t xml:space="preserve"> </w:t>
      </w:r>
      <m:oMath>
        <m:sSubSup>
          <m:e>
            <m:r>
              <m:t>f</m:t>
            </m:r>
          </m:e>
          <m:sub>
            <m:r>
              <m:t>u</m:t>
            </m:r>
            <m:r>
              <m:t>v</m:t>
            </m:r>
          </m:sub>
          <m:sup>
            <m:r>
              <m:rPr>
                <m:sty m:val="p"/>
              </m:rPr>
              <m:t>⋆</m:t>
            </m:r>
          </m:sup>
        </m:sSubSup>
        <m:r>
          <m:rPr>
            <m:sty m:val="p"/>
          </m:rPr>
          <m:t>=</m:t>
        </m:r>
        <m:sSub>
          <m:e>
            <m:r>
              <m:t>c</m:t>
            </m:r>
          </m:e>
          <m:sub>
            <m:r>
              <m:t>u</m:t>
            </m:r>
            <m:r>
              <m:t>v</m:t>
            </m:r>
          </m:sub>
        </m:sSub>
      </m:oMath>
      <w:r>
        <w:t xml:space="preserve">,</w:t>
      </w:r>
    </w:p>
    <w:p>
      <w:pPr>
        <w:numPr>
          <w:ilvl w:val="0"/>
          <w:numId w:val="1007"/>
        </w:numPr>
      </w:pPr>
      <w:r>
        <w:rPr>
          <w:i/>
          <w:iCs/>
        </w:rPr>
        <w:t xml:space="preserve">unsaturated edges</w:t>
      </w:r>
      <w:r>
        <w:t xml:space="preserve">, for which</w:t>
      </w:r>
      <w:r>
        <w:t xml:space="preserve"> </w:t>
      </w:r>
      <m:oMath>
        <m:sSubSup>
          <m:e>
            <m:r>
              <m:t>f</m:t>
            </m:r>
          </m:e>
          <m:sub>
            <m:r>
              <m:t>u</m:t>
            </m:r>
            <m:r>
              <m:t>v</m:t>
            </m:r>
          </m:sub>
          <m:sup>
            <m:r>
              <m:rPr>
                <m:sty m:val="p"/>
              </m:rPr>
              <m:t>⋆</m:t>
            </m:r>
          </m:sup>
        </m:sSubSup>
        <m:r>
          <m:rPr>
            <m:sty m:val="p"/>
          </m:rPr>
          <m:t>&lt;</m:t>
        </m:r>
        <m:sSub>
          <m:e>
            <m:r>
              <m:t>c</m:t>
            </m:r>
          </m:e>
          <m:sub>
            <m:r>
              <m:t>u</m:t>
            </m:r>
            <m:r>
              <m:t>v</m:t>
            </m:r>
          </m:sub>
        </m:sSub>
      </m:oMath>
      <w:r>
        <w:t xml:space="preserve">.</w:t>
      </w:r>
    </w:p>
    <w:p>
      <w:pPr>
        <w:pStyle w:val="FirstParagraph"/>
      </w:pPr>
      <w:r>
        <w:t xml:space="preserve">Every minimum cut is made up only of saturated edges, so these define the primary candidate set for sensitivity analysis. The sensitivity module exposes three related functions.</w:t>
      </w:r>
    </w:p>
    <w:bookmarkStart w:id="30" w:name="critical-edge-ranking."/>
    <w:p>
      <w:pPr>
        <w:pStyle w:val="Heading4"/>
      </w:pPr>
      <w:r>
        <w:rPr>
          <w:rStyle w:val="SectionNumber"/>
        </w:rPr>
        <w:t xml:space="preserve">4.4.0.1</w:t>
      </w:r>
      <w:r>
        <w:tab/>
      </w:r>
      <w:r>
        <w:t xml:space="preserve">Critical edge ranking.</w:t>
      </w:r>
    </w:p>
    <w:p>
      <w:pPr>
        <w:pStyle w:val="FirstParagraph"/>
      </w:pPr>
      <w:r>
        <w:t xml:space="preserve">For each candidate edge</w:t>
      </w:r>
      <w:r>
        <w:t xml:space="preserve"> </w:t>
      </w:r>
      <m:oMath>
        <m:r>
          <m:rPr>
            <m:sty m:val="p"/>
          </m:rPr>
          <m:t>(</m:t>
        </m:r>
        <m:r>
          <m:t>u</m:t>
        </m:r>
        <m:r>
          <m:rPr>
            <m:sty m:val="p"/>
          </m:rPr>
          <m:t>,</m:t>
        </m:r>
        <m:r>
          <m:t>v</m:t>
        </m:r>
        <m:r>
          <m:rPr>
            <m:sty m:val="p"/>
          </m:rPr>
          <m:t>)</m:t>
        </m:r>
      </m:oMath>
      <w:r>
        <w:t xml:space="preserve">, the throughput loss caused by its removal is</w:t>
      </w:r>
    </w:p>
    <w:p>
      <w:pPr>
        <w:pStyle w:val="BodyText"/>
      </w:pPr>
      <m:oMathPara>
        <m:oMathParaPr>
          <m:jc m:val="center"/>
        </m:oMathParaPr>
        <m:oMath>
          <m:sSubSup>
            <m:e>
              <m:r>
                <m:rPr>
                  <m:sty m:val="p"/>
                </m:rPr>
                <m:t>Δ</m:t>
              </m:r>
            </m:e>
            <m:sub>
              <m:r>
                <m:t>u</m:t>
              </m:r>
              <m:r>
                <m:t>v</m:t>
              </m:r>
            </m:sub>
            <m:sup>
              <m:r>
                <m:rPr>
                  <m:sty m:val="p"/>
                </m:rPr>
                <m:t>⋆</m:t>
              </m:r>
            </m:sup>
          </m:sSubSup>
          <m:r>
            <m:rPr>
              <m:sty m:val="p"/>
            </m:rPr>
            <m:t>=</m:t>
          </m:r>
          <m:sSup>
            <m:e>
              <m:r>
                <m:t>F</m:t>
              </m:r>
            </m:e>
            <m:sup>
              <m:r>
                <m:rPr>
                  <m:sty m:val="p"/>
                </m:rPr>
                <m:t>⋆</m:t>
              </m:r>
            </m:sup>
          </m:sSup>
          <m:r>
            <m:rPr>
              <m:sty m:val="p"/>
            </m:rPr>
            <m:t>(</m:t>
          </m:r>
          <m:r>
            <m:t>G</m:t>
          </m:r>
          <m:r>
            <m:rPr>
              <m:sty m:val="p"/>
            </m:rPr>
            <m:t>,</m:t>
          </m:r>
          <m:r>
            <m:t>c</m:t>
          </m:r>
          <m:r>
            <m:rPr>
              <m:sty m:val="p"/>
            </m:rPr>
            <m:t>)</m:t>
          </m:r>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t>u</m:t>
                  </m:r>
                  <m:r>
                    <m:t>v</m:t>
                  </m:r>
                  <m:r>
                    <m:rPr>
                      <m:sty m:val="p"/>
                    </m:rPr>
                    <m:t>)</m:t>
                  </m:r>
                </m:sup>
              </m:sSubSup>
            </m:e>
          </m:d>
          <m:r>
            <m:rPr>
              <m:sty m:val="p"/>
            </m:rPr>
            <m:t>,</m:t>
          </m:r>
        </m:oMath>
      </m:oMathPara>
    </w:p>
    <w:p>
      <w:pPr>
        <w:pStyle w:val="FirstParagraph"/>
      </w:pPr>
      <w:r>
        <w:t xml:space="preserve">where</w:t>
      </w:r>
      <w:r>
        <w:t xml:space="preserve"> </w:t>
      </w:r>
      <m:oMath>
        <m:sSubSup>
          <m:e>
            <m:r>
              <m:t>c</m:t>
            </m:r>
          </m:e>
          <m:sub>
            <m:r>
              <m:t>0</m:t>
            </m:r>
          </m:sub>
          <m:sup>
            <m:r>
              <m:rPr>
                <m:sty m:val="p"/>
              </m:rPr>
              <m:t>(</m:t>
            </m:r>
            <m:r>
              <m:t>u</m:t>
            </m:r>
            <m:r>
              <m:t>v</m:t>
            </m:r>
            <m:r>
              <m:rPr>
                <m:sty m:val="p"/>
              </m:rPr>
              <m:t>)</m:t>
            </m:r>
          </m:sup>
        </m:sSubSup>
      </m:oMath>
      <w:r>
        <w:t xml:space="preserve"> </w:t>
      </w:r>
      <w:r>
        <w:t xml:space="preserve">denotes the capacity assignment with</w:t>
      </w:r>
      <w:r>
        <w:t xml:space="preserve"> </w:t>
      </w:r>
      <m:oMath>
        <m:sSub>
          <m:e>
            <m:r>
              <m:t>c</m:t>
            </m:r>
          </m:e>
          <m:sub>
            <m:r>
              <m:t>u</m:t>
            </m:r>
            <m:r>
              <m:t>v</m:t>
            </m:r>
          </m:sub>
        </m:sSub>
        <m:r>
          <m:rPr>
            <m:sty m:val="p"/>
          </m:rPr>
          <m:t>=</m:t>
        </m:r>
        <m:r>
          <m:t>0</m:t>
        </m:r>
      </m:oMath>
      <w:r>
        <w:t xml:space="preserve"> </w:t>
      </w:r>
      <w:r>
        <w:t xml:space="preserve">and all other capacities unchanged. Ranking edges by</w:t>
      </w:r>
      <w:r>
        <w:t xml:space="preserve"> </w:t>
      </w:r>
      <m:oMath>
        <m:sSubSup>
          <m:e>
            <m:r>
              <m:rPr>
                <m:sty m:val="p"/>
              </m:rPr>
              <m:t>Δ</m:t>
            </m:r>
          </m:e>
          <m:sub>
            <m:r>
              <m:t>u</m:t>
            </m:r>
            <m:r>
              <m:t>v</m:t>
            </m:r>
          </m:sub>
          <m:sup>
            <m:r>
              <m:rPr>
                <m:sty m:val="p"/>
              </m:rPr>
              <m:t>⋆</m:t>
            </m:r>
          </m:sup>
        </m:sSubSup>
      </m:oMath>
      <w:r>
        <w:t xml:space="preserve"> </w:t>
      </w:r>
      <w:r>
        <w:t xml:space="preserve">identifies the most damaging single-edge failures.</w:t>
      </w:r>
    </w:p>
    <w:bookmarkEnd w:id="30"/>
    <w:bookmarkStart w:id="31" w:name="marginal-capacity-value."/>
    <w:p>
      <w:pPr>
        <w:pStyle w:val="Heading4"/>
      </w:pPr>
      <w:r>
        <w:rPr>
          <w:rStyle w:val="SectionNumber"/>
        </w:rPr>
        <w:t xml:space="preserve">4.4.0.2</w:t>
      </w:r>
      <w:r>
        <w:tab/>
      </w:r>
      <w:r>
        <w:t xml:space="preserve">Marginal capacity value.</w:t>
      </w:r>
    </w:p>
    <w:p>
      <w:pPr>
        <w:pStyle w:val="FirstParagraph"/>
      </w:pPr>
      <w:r>
        <w:t xml:space="preserve">For a small capacity perturbation</w:t>
      </w:r>
      <w:r>
        <w:t xml:space="preserve"> </w:t>
      </w:r>
      <m:oMath>
        <m:r>
          <m:t>δ</m:t>
        </m:r>
        <m:r>
          <m:rPr>
            <m:sty m:val="p"/>
          </m:rPr>
          <m:t>&gt;</m:t>
        </m:r>
        <m:r>
          <m:t>0</m:t>
        </m:r>
      </m:oMath>
      <w:r>
        <w:t xml:space="preserve">, the local marginal value of edge</w:t>
      </w:r>
      <w:r>
        <w:t xml:space="preserve"> </w:t>
      </w:r>
      <m:oMath>
        <m:r>
          <m:rPr>
            <m:sty m:val="p"/>
          </m:rPr>
          <m:t>(</m:t>
        </m:r>
        <m:r>
          <m:t>u</m:t>
        </m:r>
        <m:r>
          <m:rPr>
            <m:sty m:val="p"/>
          </m:rPr>
          <m:t>,</m:t>
        </m:r>
        <m:r>
          <m:t>v</m:t>
        </m:r>
        <m:r>
          <m:rPr>
            <m:sty m:val="p"/>
          </m:rPr>
          <m:t>)</m:t>
        </m:r>
      </m:oMath>
      <w:r>
        <w:t xml:space="preserve"> </w:t>
      </w:r>
      <w:r>
        <w:t xml:space="preserve">is</w:t>
      </w:r>
    </w:p>
    <w:p>
      <w:pPr>
        <w:pStyle w:val="BodyText"/>
      </w:pPr>
      <m:oMathPara>
        <m:oMathParaPr>
          <m:jc m:val="center"/>
        </m:oMathParaPr>
        <m:oMath>
          <m:sSub>
            <m:e>
              <m:r>
                <m:t>μ</m:t>
              </m:r>
            </m:e>
            <m:sub>
              <m:r>
                <m:t>u</m:t>
              </m:r>
              <m:r>
                <m:t>v</m:t>
              </m:r>
            </m:sub>
          </m:sSub>
          <m:r>
            <m:rPr>
              <m:sty m:val="p"/>
            </m:rPr>
            <m:t>=</m:t>
          </m:r>
          <m:f>
            <m:fPr>
              <m:type m:val="bar"/>
            </m:fPr>
            <m:num>
              <m:sSup>
                <m:e>
                  <m:r>
                    <m:t>F</m:t>
                  </m:r>
                </m:e>
                <m:sup>
                  <m:r>
                    <m:rPr>
                      <m:sty m:val="p"/>
                    </m:rPr>
                    <m:t>⋆</m:t>
                  </m:r>
                </m:sup>
              </m:sSup>
              <m:r>
                <m:rPr>
                  <m:sty m:val="p"/>
                </m:rPr>
                <m:t>(</m:t>
              </m:r>
              <m:r>
                <m:t>G</m:t>
              </m:r>
              <m:r>
                <m:rPr>
                  <m:sty m:val="p"/>
                </m:rPr>
                <m:t>,</m:t>
              </m:r>
              <m:sSubSup>
                <m:e>
                  <m:r>
                    <m:t>c</m:t>
                  </m:r>
                </m:e>
                <m:sub>
                  <m:r>
                    <m:t>δ</m:t>
                  </m:r>
                </m:sub>
                <m:sup>
                  <m:r>
                    <m:rPr>
                      <m:sty m:val="p"/>
                    </m:rPr>
                    <m:t>(</m:t>
                  </m:r>
                  <m:r>
                    <m:t>u</m:t>
                  </m:r>
                  <m:r>
                    <m:t>v</m:t>
                  </m:r>
                  <m:r>
                    <m:rPr>
                      <m:sty m:val="p"/>
                    </m:rPr>
                    <m:t>)</m:t>
                  </m:r>
                </m:sup>
              </m:sSubSup>
              <m:r>
                <m:rPr>
                  <m:sty m:val="p"/>
                </m:rPr>
                <m:t>)</m:t>
              </m:r>
              <m:r>
                <m:rPr>
                  <m:sty m:val="p"/>
                </m:rPr>
                <m:t>−</m:t>
              </m:r>
              <m:sSup>
                <m:e>
                  <m:r>
                    <m:t>F</m:t>
                  </m:r>
                </m:e>
                <m:sup>
                  <m:r>
                    <m:rPr>
                      <m:sty m:val="p"/>
                    </m:rPr>
                    <m:t>⋆</m:t>
                  </m:r>
                </m:sup>
              </m:sSup>
              <m:r>
                <m:rPr>
                  <m:sty m:val="p"/>
                </m:rPr>
                <m:t>(</m:t>
              </m:r>
              <m:r>
                <m:t>G</m:t>
              </m:r>
              <m:r>
                <m:rPr>
                  <m:sty m:val="p"/>
                </m:rPr>
                <m:t>,</m:t>
              </m:r>
              <m:r>
                <m:t>c</m:t>
              </m:r>
              <m:r>
                <m:rPr>
                  <m:sty m:val="p"/>
                </m:rPr>
                <m:t>)</m:t>
              </m:r>
            </m:num>
            <m:den>
              <m:r>
                <m:t>δ</m:t>
              </m:r>
            </m:den>
          </m:f>
          <m:r>
            <m:rPr>
              <m:sty m:val="p"/>
            </m:rPr>
            <m:t>,</m:t>
          </m:r>
        </m:oMath>
      </m:oMathPara>
    </w:p>
    <w:p>
      <w:pPr>
        <w:pStyle w:val="FirstParagraph"/>
      </w:pPr>
      <w:r>
        <w:t xml:space="preserve">where</w:t>
      </w:r>
      <w:r>
        <w:t xml:space="preserve"> </w:t>
      </w:r>
      <m:oMath>
        <m:sSubSup>
          <m:e>
            <m:r>
              <m:t>c</m:t>
            </m:r>
          </m:e>
          <m:sub>
            <m:r>
              <m:t>δ</m:t>
            </m:r>
          </m:sub>
          <m:sup>
            <m:r>
              <m:rPr>
                <m:sty m:val="p"/>
              </m:rPr>
              <m:t>(</m:t>
            </m:r>
            <m:r>
              <m:t>u</m:t>
            </m:r>
            <m:r>
              <m:t>v</m:t>
            </m:r>
            <m:r>
              <m:rPr>
                <m:sty m:val="p"/>
              </m:rPr>
              <m:t>)</m:t>
            </m:r>
          </m:sup>
        </m:sSubSup>
      </m:oMath>
      <w:r>
        <w:t xml:space="preserve"> </w:t>
      </w:r>
      <w:r>
        <w:t xml:space="preserve">increases only</w:t>
      </w:r>
      <w:r>
        <w:t xml:space="preserve"> </w:t>
      </w:r>
      <m:oMath>
        <m:sSub>
          <m:e>
            <m:r>
              <m:t>c</m:t>
            </m:r>
          </m:e>
          <m:sub>
            <m:r>
              <m:t>u</m:t>
            </m:r>
            <m:r>
              <m:t>v</m:t>
            </m:r>
          </m:sub>
        </m:sSub>
      </m:oMath>
      <w:r>
        <w:t xml:space="preserve"> </w:t>
      </w:r>
      <w:r>
        <w:t xml:space="preserve">by</w:t>
      </w:r>
      <w:r>
        <w:t xml:space="preserve"> </w:t>
      </w:r>
      <m:oMath>
        <m:r>
          <m:t>δ</m:t>
        </m:r>
      </m:oMath>
      <w:r>
        <w:t xml:space="preserve">. This quantifies the immediate throughput gain from upgrading an edge.</w:t>
      </w:r>
    </w:p>
    <w:bookmarkEnd w:id="31"/>
    <w:bookmarkStart w:id="32" w:name="marginal-range."/>
    <w:p>
      <w:pPr>
        <w:pStyle w:val="Heading4"/>
      </w:pPr>
      <w:r>
        <w:rPr>
          <w:rStyle w:val="SectionNumber"/>
        </w:rPr>
        <w:t xml:space="preserve">4.4.0.3</w:t>
      </w:r>
      <w:r>
        <w:tab/>
      </w:r>
      <w:r>
        <w:t xml:space="preserve">Marginal range.</w:t>
      </w:r>
    </w:p>
    <w:p>
      <w:pPr>
        <w:pStyle w:val="FirstParagraph"/>
      </w:pPr>
      <w:r>
        <w:t xml:space="preserve">The total throughput range associated with edge</w:t>
      </w:r>
      <w:r>
        <w:t xml:space="preserve"> </w:t>
      </w:r>
      <m:oMath>
        <m:r>
          <m:rPr>
            <m:sty m:val="p"/>
          </m:rPr>
          <m:t>(</m:t>
        </m:r>
        <m:r>
          <m:t>u</m:t>
        </m:r>
        <m:r>
          <m:rPr>
            <m:sty m:val="p"/>
          </m:rPr>
          <m:t>,</m:t>
        </m:r>
        <m:r>
          <m:t>v</m:t>
        </m:r>
        <m:r>
          <m:rPr>
            <m:sty m:val="p"/>
          </m:rPr>
          <m:t>)</m:t>
        </m:r>
      </m:oMath>
      <w:r>
        <w:t xml:space="preserve"> </w:t>
      </w:r>
      <w:r>
        <w:t xml:space="preserve">is</w:t>
      </w:r>
    </w:p>
    <w:p>
      <w:pPr>
        <w:pStyle w:val="BodyText"/>
      </w:pPr>
      <m:oMathPara>
        <m:oMathParaPr>
          <m:jc m:val="center"/>
        </m:oMathParaPr>
        <m:oMath>
          <m:sSub>
            <m:e>
              <m:r>
                <m:rPr>
                  <m:scr m:val="script"/>
                  <m:sty m:val="p"/>
                </m:rPr>
                <m:t>B</m:t>
              </m:r>
            </m:e>
            <m:sub>
              <m:r>
                <m:t>u</m:t>
              </m:r>
              <m:r>
                <m:t>v</m:t>
              </m:r>
            </m:sub>
          </m:sSub>
          <m:r>
            <m:rPr>
              <m:sty m:val="p"/>
            </m:rPr>
            <m:t>=</m:t>
          </m:r>
          <m:sSup>
            <m:e>
              <m:r>
                <m:t>F</m:t>
              </m:r>
            </m:e>
            <m:sup>
              <m:r>
                <m:rPr>
                  <m:sty m:val="p"/>
                </m:rPr>
                <m:t>⋆</m:t>
              </m:r>
            </m:sup>
          </m:sSup>
          <m:r>
            <m:t>​</m:t>
          </m:r>
          <m:d>
            <m:dPr>
              <m:begChr m:val="("/>
              <m:sepChr m:val=""/>
              <m:endChr m:val=")"/>
              <m:grow/>
            </m:dPr>
            <m:e>
              <m:r>
                <m:t>G</m:t>
              </m:r>
              <m:r>
                <m:rPr>
                  <m:sty m:val="p"/>
                </m:rPr>
                <m:t>,</m:t>
              </m:r>
              <m:sSubSup>
                <m:e>
                  <m:r>
                    <m:t>c</m:t>
                  </m:r>
                </m:e>
                <m:sub>
                  <m:r>
                    <m:rPr>
                      <m:sty m:val="p"/>
                    </m:rPr>
                    <m:t>∞</m:t>
                  </m:r>
                </m:sub>
                <m:sup>
                  <m:r>
                    <m:rPr>
                      <m:sty m:val="p"/>
                    </m:rPr>
                    <m:t>(</m:t>
                  </m:r>
                  <m:r>
                    <m:t>u</m:t>
                  </m:r>
                  <m:r>
                    <m:t>v</m:t>
                  </m:r>
                  <m:r>
                    <m:rPr>
                      <m:sty m:val="p"/>
                    </m:rPr>
                    <m:t>)</m:t>
                  </m:r>
                </m:sup>
              </m:sSubSup>
            </m:e>
          </m:d>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t>u</m:t>
                  </m:r>
                  <m:r>
                    <m:t>v</m:t>
                  </m:r>
                  <m:r>
                    <m:rPr>
                      <m:sty m:val="p"/>
                    </m:rPr>
                    <m:t>)</m:t>
                  </m:r>
                </m:sup>
              </m:sSubSup>
            </m:e>
          </m:d>
          <m:r>
            <m:rPr>
              <m:sty m:val="p"/>
            </m:rPr>
            <m:t>,</m:t>
          </m:r>
        </m:oMath>
      </m:oMathPara>
    </w:p>
    <w:p>
      <w:pPr>
        <w:pStyle w:val="FirstParagraph"/>
      </w:pPr>
      <w:r>
        <w:t xml:space="preserve">where</w:t>
      </w:r>
      <w:r>
        <w:t xml:space="preserve"> </w:t>
      </w:r>
      <m:oMath>
        <m:sSubSup>
          <m:e>
            <m:r>
              <m:t>c</m:t>
            </m:r>
          </m:e>
          <m:sub>
            <m:r>
              <m:rPr>
                <m:sty m:val="p"/>
              </m:rPr>
              <m:t>∞</m:t>
            </m:r>
          </m:sub>
          <m:sup>
            <m:r>
              <m:rPr>
                <m:sty m:val="p"/>
              </m:rPr>
              <m:t>(</m:t>
            </m:r>
            <m:r>
              <m:t>u</m:t>
            </m:r>
            <m:r>
              <m:t>v</m:t>
            </m:r>
            <m:r>
              <m:rPr>
                <m:sty m:val="p"/>
              </m:rPr>
              <m:t>)</m:t>
            </m:r>
          </m:sup>
        </m:sSubSup>
      </m:oMath>
      <w:r>
        <w:t xml:space="preserve"> </w:t>
      </w:r>
      <w:r>
        <w:t xml:space="preserve">sets</w:t>
      </w:r>
      <w:r>
        <w:t xml:space="preserve"> </w:t>
      </w:r>
      <m:oMath>
        <m:sSub>
          <m:e>
            <m:r>
              <m:t>c</m:t>
            </m:r>
          </m:e>
          <m:sub>
            <m:r>
              <m:t>u</m:t>
            </m:r>
            <m:r>
              <m:t>v</m:t>
            </m:r>
          </m:sub>
        </m:sSub>
      </m:oMath>
      <w:r>
        <w:t xml:space="preserve"> </w:t>
      </w:r>
      <w:r>
        <w:t xml:space="preserve">to a non-binding value. This measures the full extent to which the edge can influence throughput across its feasible capacity range.</w:t>
      </w:r>
    </w:p>
    <w:p>
      <w:pPr>
        <w:pStyle w:val="BodyText"/>
      </w:pPr>
      <w:r>
        <w:t xml:space="preserve">Together, these three quantities distinguish between edges that are fragile to lose, edges that are worth upgrading, and edges whose total possible influence is large even if their current local marginal value is small.</w:t>
      </w:r>
    </w:p>
    <w:bookmarkEnd w:id="32"/>
    <w:bookmarkEnd w:id="33"/>
    <w:bookmarkStart w:id="37" w:name="failure-impact-module"/>
    <w:p>
      <w:pPr>
        <w:pStyle w:val="Heading2"/>
      </w:pPr>
      <w:r>
        <w:rPr>
          <w:rStyle w:val="SectionNumber"/>
        </w:rPr>
        <w:t xml:space="preserve">4.5</w:t>
      </w:r>
      <w:r>
        <w:tab/>
      </w:r>
      <w:r>
        <w:t xml:space="preserve">Failure-Impact Module</w:t>
      </w:r>
    </w:p>
    <w:p>
      <w:pPr>
        <w:pStyle w:val="BlockText"/>
      </w:pPr>
      <w:r>
        <w:rPr>
          <w:b/>
          <w:bCs/>
        </w:rPr>
        <w:t xml:space="preserve">Motivating question:</w:t>
      </w:r>
      <w:r>
        <w:t xml:space="preserve"> </w:t>
      </w:r>
      <w:r>
        <w:rPr>
          <w:i/>
          <w:iCs/>
        </w:rPr>
        <w:t xml:space="preserve">How is deliverable throughput affected when components fail or degrade?</w:t>
      </w:r>
    </w:p>
    <w:p>
      <w:pPr>
        <w:pStyle w:val="FirstParagraph"/>
      </w:pPr>
      <w:r>
        <w:t xml:space="preserve">The failure-impact module extends the sensitivity analysis from local perturbations to explicit failure scenarios.</w:t>
      </w:r>
    </w:p>
    <w:bookmarkStart w:id="34" w:name="single-edge-failures."/>
    <w:p>
      <w:pPr>
        <w:pStyle w:val="Heading4"/>
      </w:pPr>
      <w:r>
        <w:rPr>
          <w:rStyle w:val="SectionNumber"/>
        </w:rPr>
        <w:t xml:space="preserve">4.5.0.1</w:t>
      </w:r>
      <w:r>
        <w:tab/>
      </w:r>
      <w:r>
        <w:t xml:space="preserve">Single-edge failures.</w:t>
      </w:r>
    </w:p>
    <w:p>
      <w:pPr>
        <w:pStyle w:val="FirstParagraph"/>
      </w:pPr>
      <w:r>
        <w:t xml:space="preserve">For each candidate edge</w:t>
      </w:r>
      <w:r>
        <w:t xml:space="preserve"> </w:t>
      </w:r>
      <m:oMath>
        <m:r>
          <m:rPr>
            <m:sty m:val="p"/>
          </m:rPr>
          <m:t>(</m:t>
        </m:r>
        <m:r>
          <m:t>u</m:t>
        </m:r>
        <m:r>
          <m:rPr>
            <m:sty m:val="p"/>
          </m:rPr>
          <m:t>,</m:t>
        </m:r>
        <m:r>
          <m:t>v</m:t>
        </m:r>
        <m:r>
          <m:rPr>
            <m:sty m:val="p"/>
          </m:rPr>
          <m:t>)</m:t>
        </m:r>
      </m:oMath>
      <w:r>
        <w:t xml:space="preserve">, the throughput impact of complete failure is</w:t>
      </w:r>
    </w:p>
    <w:p>
      <w:pPr>
        <w:pStyle w:val="BodyText"/>
      </w:pPr>
      <m:oMathPara>
        <m:oMathParaPr>
          <m:jc m:val="center"/>
        </m:oMathParaPr>
        <m:oMath>
          <m:sSub>
            <m:e>
              <m:r>
                <m:rPr>
                  <m:sty m:val="p"/>
                </m:rPr>
                <m:t>Δ</m:t>
              </m:r>
            </m:e>
            <m:sub>
              <m:r>
                <m:t>u</m:t>
              </m:r>
              <m:r>
                <m:t>v</m:t>
              </m:r>
            </m:sub>
          </m:sSub>
          <m:r>
            <m:rPr>
              <m:sty m:val="p"/>
            </m:rPr>
            <m:t>=</m:t>
          </m:r>
          <m:sSup>
            <m:e>
              <m:r>
                <m:t>F</m:t>
              </m:r>
            </m:e>
            <m:sup>
              <m:r>
                <m:rPr>
                  <m:sty m:val="p"/>
                </m:rPr>
                <m:t>⋆</m:t>
              </m:r>
            </m:sup>
          </m:sSup>
          <m:r>
            <m:rPr>
              <m:sty m:val="p"/>
            </m:rPr>
            <m:t>(</m:t>
          </m:r>
          <m:r>
            <m:t>G</m:t>
          </m:r>
          <m:r>
            <m:rPr>
              <m:sty m:val="p"/>
            </m:rPr>
            <m:t>,</m:t>
          </m:r>
          <m:r>
            <m:t>c</m:t>
          </m:r>
          <m:r>
            <m:rPr>
              <m:sty m:val="p"/>
            </m:rPr>
            <m:t>)</m:t>
          </m:r>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t>u</m:t>
                  </m:r>
                  <m:r>
                    <m:t>v</m:t>
                  </m:r>
                  <m:r>
                    <m:rPr>
                      <m:sty m:val="p"/>
                    </m:rPr>
                    <m:t>)</m:t>
                  </m:r>
                </m:sup>
              </m:sSubSup>
            </m:e>
          </m:d>
          <m:r>
            <m:rPr>
              <m:sty m:val="p"/>
            </m:rPr>
            <m:t>.</m:t>
          </m:r>
        </m:oMath>
      </m:oMathPara>
    </w:p>
    <w:bookmarkEnd w:id="34"/>
    <w:bookmarkStart w:id="35" w:name="k-edge-failures."/>
    <w:p>
      <w:pPr>
        <w:pStyle w:val="Heading4"/>
      </w:pPr>
      <w:r>
        <w:rPr>
          <w:rStyle w:val="SectionNumber"/>
        </w:rPr>
        <w:t xml:space="preserve">4.5.0.2</w:t>
      </w:r>
      <w:r>
        <w:tab/>
      </w:r>
      <m:oMath>
        <m:r>
          <m:t>k</m:t>
        </m:r>
      </m:oMath>
      <w:r>
        <w:t xml:space="preserve">-edge failures.</w:t>
      </w:r>
    </w:p>
    <w:p>
      <w:pPr>
        <w:pStyle w:val="FirstParagraph"/>
      </w:pPr>
      <w:r>
        <w:t xml:space="preserve">For a set of simultaneously failed edges</w:t>
      </w:r>
      <w:r>
        <w:t xml:space="preserve"> </w:t>
      </w:r>
      <m:oMath>
        <m:r>
          <m:rPr>
            <m:scr m:val="script"/>
            <m:sty m:val="p"/>
          </m:rPr>
          <m:t>K</m:t>
        </m:r>
        <m:r>
          <m:rPr>
            <m:sty m:val="p"/>
          </m:rPr>
          <m:t>⊆</m:t>
        </m:r>
        <m:sSub>
          <m:e>
            <m:r>
              <m:t>E</m:t>
            </m:r>
          </m:e>
          <m:sub>
            <m:r>
              <m:rPr>
                <m:nor/>
                <m:sty m:val="p"/>
              </m:rPr>
              <m:t>some</m:t>
            </m:r>
          </m:sub>
        </m:sSub>
      </m:oMath>
      <w:r>
        <w:t xml:space="preserve"> </w:t>
      </w:r>
      <w:r>
        <w:t xml:space="preserve">with</w:t>
      </w:r>
      <w:r>
        <w:t xml:space="preserve"> </w:t>
      </w:r>
      <m:oMath>
        <m:r>
          <m:rPr>
            <m:sty m:val="p"/>
          </m:rPr>
          <m:t>|</m:t>
        </m:r>
        <m:r>
          <m:rPr>
            <m:scr m:val="script"/>
            <m:sty m:val="p"/>
          </m:rPr>
          <m:t>K</m:t>
        </m:r>
        <m:r>
          <m:rPr>
            <m:sty m:val="p"/>
          </m:rPr>
          <m:t>|</m:t>
        </m:r>
        <m:r>
          <m:rPr>
            <m:sty m:val="p"/>
          </m:rPr>
          <m:t>=</m:t>
        </m:r>
        <m:r>
          <m:t>k</m:t>
        </m:r>
      </m:oMath>
      <w:r>
        <w:t xml:space="preserve">, the combined impact is</w:t>
      </w:r>
    </w:p>
    <w:p>
      <w:pPr>
        <w:pStyle w:val="BodyText"/>
      </w:pPr>
      <m:oMathPara>
        <m:oMathParaPr>
          <m:jc m:val="center"/>
        </m:oMathParaPr>
        <m:oMath>
          <m:sSub>
            <m:e>
              <m:r>
                <m:rPr>
                  <m:sty m:val="p"/>
                </m:rPr>
                <m:t>Δ</m:t>
              </m:r>
            </m:e>
            <m:sub>
              <m:r>
                <m:rPr>
                  <m:scr m:val="script"/>
                  <m:sty m:val="p"/>
                </m:rPr>
                <m:t>K</m:t>
              </m:r>
            </m:sub>
          </m:sSub>
          <m:r>
            <m:rPr>
              <m:sty m:val="p"/>
            </m:rPr>
            <m:t>=</m:t>
          </m:r>
          <m:sSup>
            <m:e>
              <m:r>
                <m:t>F</m:t>
              </m:r>
            </m:e>
            <m:sup>
              <m:r>
                <m:rPr>
                  <m:sty m:val="p"/>
                </m:rPr>
                <m:t>⋆</m:t>
              </m:r>
            </m:sup>
          </m:sSup>
          <m:r>
            <m:rPr>
              <m:sty m:val="p"/>
            </m:rPr>
            <m:t>(</m:t>
          </m:r>
          <m:r>
            <m:t>G</m:t>
          </m:r>
          <m:r>
            <m:rPr>
              <m:sty m:val="p"/>
            </m:rPr>
            <m:t>,</m:t>
          </m:r>
          <m:r>
            <m:t>c</m:t>
          </m:r>
          <m:r>
            <m:rPr>
              <m:sty m:val="p"/>
            </m:rPr>
            <m:t>)</m:t>
          </m:r>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rPr>
                      <m:scr m:val="script"/>
                      <m:sty m:val="p"/>
                    </m:rPr>
                    <m:t>K</m:t>
                  </m:r>
                  <m:r>
                    <m:rPr>
                      <m:sty m:val="p"/>
                    </m:rPr>
                    <m:t>)</m:t>
                  </m:r>
                </m:sup>
              </m:sSubSup>
            </m:e>
          </m:d>
          <m:r>
            <m:rPr>
              <m:sty m:val="p"/>
            </m:rPr>
            <m:t>,</m:t>
          </m:r>
        </m:oMath>
      </m:oMathPara>
    </w:p>
    <w:p>
      <w:pPr>
        <w:pStyle w:val="FirstParagraph"/>
      </w:pPr>
      <w:r>
        <w:t xml:space="preserve">where all edges in</w:t>
      </w:r>
      <w:r>
        <w:t xml:space="preserve"> </w:t>
      </w:r>
      <m:oMath>
        <m:r>
          <m:rPr>
            <m:scr m:val="script"/>
            <m:sty m:val="p"/>
          </m:rPr>
          <m:t>K</m:t>
        </m:r>
      </m:oMath>
      <w:r>
        <w:t xml:space="preserve"> </w:t>
      </w:r>
      <w:r>
        <w:t xml:space="preserve">are set to zero capacity. Because the number of combinations grows rapidly with</w:t>
      </w:r>
      <w:r>
        <w:t xml:space="preserve"> </w:t>
      </w:r>
      <m:oMath>
        <m:r>
          <m:t>k</m:t>
        </m:r>
      </m:oMath>
      <w:r>
        <w:t xml:space="preserve">, this module is intended primarily for</w:t>
      </w:r>
      <w:r>
        <w:t xml:space="preserve"> </w:t>
      </w:r>
      <m:oMath>
        <m:r>
          <m:t>k</m:t>
        </m:r>
        <m:r>
          <m:rPr>
            <m:sty m:val="p"/>
          </m:rPr>
          <m:t>=</m:t>
        </m:r>
        <m:r>
          <m:t>2</m:t>
        </m:r>
      </m:oMath>
      <w:r>
        <w:t xml:space="preserve"> </w:t>
      </w:r>
      <w:r>
        <w:t xml:space="preserve">or</w:t>
      </w:r>
      <w:r>
        <w:t xml:space="preserve"> </w:t>
      </w:r>
      <m:oMath>
        <m:r>
          <m:t>k</m:t>
        </m:r>
        <m:r>
          <m:rPr>
            <m:sty m:val="p"/>
          </m:rPr>
          <m:t>=</m:t>
        </m:r>
        <m:r>
          <m:t>3</m:t>
        </m:r>
      </m:oMath>
      <w:r>
        <w:t xml:space="preserve">, with explicit limits imposed for tractability.</w:t>
      </w:r>
    </w:p>
    <w:bookmarkEnd w:id="35"/>
    <w:bookmarkStart w:id="36" w:name="capacity-degradation-scenarios."/>
    <w:p>
      <w:pPr>
        <w:pStyle w:val="Heading4"/>
      </w:pPr>
      <w:r>
        <w:rPr>
          <w:rStyle w:val="SectionNumber"/>
        </w:rPr>
        <w:t xml:space="preserve">4.5.0.3</w:t>
      </w:r>
      <w:r>
        <w:tab/>
      </w:r>
      <w:r>
        <w:t xml:space="preserve">Capacity degradation scenarios.</w:t>
      </w:r>
    </w:p>
    <w:p>
      <w:pPr>
        <w:pStyle w:val="FirstParagraph"/>
      </w:pPr>
      <w:r>
        <w:t xml:space="preserve">Not all failures are binary. The module therefore also supports degraded-capacity analyses under either:</w:t>
      </w:r>
    </w:p>
    <w:p>
      <w:pPr>
        <w:numPr>
          <w:ilvl w:val="0"/>
          <w:numId w:val="1008"/>
        </w:numPr>
      </w:pPr>
      <w:r>
        <w:t xml:space="preserve">explicit edge-wise capacity overrides, or</w:t>
      </w:r>
    </w:p>
    <w:p>
      <w:pPr>
        <w:numPr>
          <w:ilvl w:val="0"/>
          <w:numId w:val="1008"/>
        </w:numPr>
      </w:pPr>
      <w:r>
        <w:t xml:space="preserve">a global scale factor</w:t>
      </w:r>
      <w:r>
        <w:t xml:space="preserve"> </w:t>
      </w:r>
      <m:oMath>
        <m:r>
          <m:t>α</m:t>
        </m:r>
        <m:r>
          <m:rPr>
            <m:sty m:val="p"/>
          </m:rPr>
          <m:t>∈</m:t>
        </m:r>
        <m:r>
          <m:rPr>
            <m:sty m:val="p"/>
          </m:rPr>
          <m:t>[</m:t>
        </m:r>
        <m:r>
          <m:t>0</m:t>
        </m:r>
        <m:r>
          <m:rPr>
            <m:sty m:val="p"/>
          </m:rPr>
          <m:t>,</m:t>
        </m:r>
        <m:r>
          <m:t>1</m:t>
        </m:r>
        <m:r>
          <m:rPr>
            <m:sty m:val="p"/>
          </m:rPr>
          <m:t>]</m:t>
        </m:r>
      </m:oMath>
      <w:r>
        <w:t xml:space="preserve"> </w:t>
      </w:r>
      <w:r>
        <w:t xml:space="preserve">applied to all finite capacities,</w:t>
      </w:r>
    </w:p>
    <w:p>
      <w:pPr>
        <w:pStyle w:val="BodyText"/>
      </w:pPr>
      <m:oMathPara>
        <m:oMathParaPr>
          <m:jc m:val="center"/>
        </m:oMathParaPr>
        <m:oMath>
          <m:sSubSup>
            <m:e>
              <m:r>
                <m:t>c</m:t>
              </m:r>
            </m:e>
            <m:sub>
              <m:r>
                <m:t>u</m:t>
              </m:r>
              <m:r>
                <m:t>v</m:t>
              </m:r>
            </m:sub>
            <m:sup>
              <m:r>
                <m:rPr>
                  <m:sty m:val="p"/>
                </m:rPr>
                <m:t>′</m:t>
              </m:r>
            </m:sup>
          </m:sSubSup>
          <m:r>
            <m:rPr>
              <m:sty m:val="p"/>
            </m:rPr>
            <m:t>=</m:t>
          </m:r>
          <m:r>
            <m:t>α</m:t>
          </m:r>
          <m:sSub>
            <m:e>
              <m:r>
                <m:t>c</m:t>
              </m:r>
            </m:e>
            <m:sub>
              <m:r>
                <m:t>u</m:t>
              </m:r>
              <m:r>
                <m:t>v</m:t>
              </m:r>
            </m:sub>
          </m:sSub>
          <m:r>
            <m:rPr>
              <m:sty m:val="p"/>
            </m:rPr>
            <m:t>.</m:t>
          </m:r>
        </m:oMath>
      </m:oMathPara>
    </w:p>
    <w:p>
      <w:pPr>
        <w:pStyle w:val="FirstParagraph"/>
      </w:pPr>
      <w:r>
        <w:t xml:space="preserve">This makes it possible to compare the network under multiple operating states without repeating the entire preprocessing pipeline.</w:t>
      </w:r>
    </w:p>
    <w:bookmarkEnd w:id="36"/>
    <w:bookmarkEnd w:id="37"/>
    <w:bookmarkStart w:id="40" w:name="parametric-threshold-module"/>
    <w:p>
      <w:pPr>
        <w:pStyle w:val="Heading2"/>
      </w:pPr>
      <w:r>
        <w:rPr>
          <w:rStyle w:val="SectionNumber"/>
        </w:rPr>
        <w:t xml:space="preserve">4.6</w:t>
      </w:r>
      <w:r>
        <w:tab/>
      </w:r>
      <w:r>
        <w:t xml:space="preserve">Parametric Threshold Module</w:t>
      </w:r>
    </w:p>
    <w:p>
      <w:pPr>
        <w:pStyle w:val="BlockText"/>
      </w:pPr>
      <w:r>
        <w:rPr>
          <w:b/>
          <w:bCs/>
        </w:rPr>
        <w:t xml:space="preserve">Motivating question:</w:t>
      </w:r>
      <w:r>
        <w:t xml:space="preserve"> </w:t>
      </w:r>
      <w:r>
        <w:rPr>
          <w:i/>
          <w:iCs/>
        </w:rPr>
        <w:t xml:space="preserve">How much capacity must be retained or added to satisfy a target service level?</w:t>
      </w:r>
    </w:p>
    <w:p>
      <w:pPr>
        <w:pStyle w:val="FirstParagraph"/>
      </w:pPr>
      <w:r>
        <w:t xml:space="preserve">The threshold module inverts the usual diagnostic viewpoint. Instead of asking how much flow results from a given capacity assignment, it asks what capacity level is required for the network to maintain or achieve a target throughput</w:t>
      </w:r>
      <w:r>
        <w:t xml:space="preserve"> </w:t>
      </w:r>
      <m:oMath>
        <m:sSub>
          <m:e>
            <m:r>
              <m:t>D</m:t>
            </m:r>
          </m:e>
          <m:sub>
            <m:r>
              <m:t>t</m:t>
            </m:r>
          </m:sub>
        </m:sSub>
      </m:oMath>
      <w:r>
        <w:t xml:space="preserve">.</w:t>
      </w:r>
    </w:p>
    <w:bookmarkStart w:id="38" w:name="degradation-threshold."/>
    <w:p>
      <w:pPr>
        <w:pStyle w:val="Heading4"/>
      </w:pPr>
      <w:r>
        <w:rPr>
          <w:rStyle w:val="SectionNumber"/>
        </w:rPr>
        <w:t xml:space="preserve">4.6.0.1</w:t>
      </w:r>
      <w:r>
        <w:tab/>
      </w:r>
      <w:r>
        <w:t xml:space="preserve">Degradation threshold.</w:t>
      </w:r>
    </w:p>
    <w:p>
      <w:pPr>
        <w:pStyle w:val="FirstParagraph"/>
      </w:pPr>
      <w:r>
        <w:t xml:space="preserve">For edge</w:t>
      </w:r>
      <w:r>
        <w:t xml:space="preserve"> </w:t>
      </w:r>
      <m:oMath>
        <m:r>
          <m:rPr>
            <m:sty m:val="p"/>
          </m:rPr>
          <m:t>(</m:t>
        </m:r>
        <m:r>
          <m:t>u</m:t>
        </m:r>
        <m:r>
          <m:rPr>
            <m:sty m:val="p"/>
          </m:rPr>
          <m:t>,</m:t>
        </m:r>
        <m:r>
          <m:t>v</m:t>
        </m:r>
        <m:r>
          <m:rPr>
            <m:sty m:val="p"/>
          </m:rPr>
          <m:t>)</m:t>
        </m:r>
      </m:oMath>
      <w:r>
        <w:t xml:space="preserve">, the degradation threshold is</w:t>
      </w:r>
    </w:p>
    <w:p>
      <w:pPr>
        <w:pStyle w:val="BodyText"/>
      </w:pPr>
      <m:oMathPara>
        <m:oMathParaPr>
          <m:jc m:val="center"/>
        </m:oMathParaPr>
        <m:oMath>
          <m:sSubSup>
            <m:e>
              <m:r>
                <m:t>c</m:t>
              </m:r>
            </m:e>
            <m:sub>
              <m:r>
                <m:t>u</m:t>
              </m:r>
              <m:r>
                <m:t>v</m:t>
              </m:r>
            </m:sub>
            <m:sup>
              <m:r>
                <m:rPr>
                  <m:sty m:val="p"/>
                </m:rPr>
                <m:t>†</m:t>
              </m:r>
            </m:sup>
          </m:sSubSup>
          <m:r>
            <m:rPr>
              <m:sty m:val="p"/>
            </m:rPr>
            <m:t>=</m:t>
          </m:r>
          <m:r>
            <m:rPr>
              <m:sty m:val="p"/>
            </m:rPr>
            <m:t>inf</m:t>
          </m:r>
          <m:r>
            <m:rPr>
              <m:sty m:val="p"/>
            </m:rPr>
            <m:t>{</m:t>
          </m:r>
          <m:r>
            <m:t>c</m:t>
          </m:r>
          <m:r>
            <m:rPr>
              <m:sty m:val="p"/>
            </m:rPr>
            <m:t>∈</m:t>
          </m:r>
          <m:r>
            <m:rPr>
              <m:sty m:val="p"/>
            </m:rPr>
            <m:t>[</m:t>
          </m:r>
          <m:r>
            <m:t>0</m:t>
          </m:r>
          <m:r>
            <m:rPr>
              <m:sty m:val="p"/>
            </m:rPr>
            <m:t>,</m:t>
          </m:r>
          <m:sSub>
            <m:e>
              <m:r>
                <m:t>c</m:t>
              </m:r>
            </m:e>
            <m:sub>
              <m:r>
                <m:t>u</m:t>
              </m:r>
              <m:r>
                <m:t>v</m:t>
              </m:r>
            </m:sub>
          </m:sSub>
          <m:r>
            <m:rPr>
              <m:sty m:val="p"/>
            </m:rPr>
            <m:t>]</m:t>
          </m:r>
          <m:r>
            <m:rPr>
              <m:sty m:val="p"/>
            </m:rPr>
            <m:t>:</m:t>
          </m:r>
          <m:sSup>
            <m:e>
              <m:r>
                <m:t>F</m:t>
              </m:r>
            </m:e>
            <m:sup>
              <m:r>
                <m:rPr>
                  <m:sty m:val="p"/>
                </m:rPr>
                <m:t>⋆</m:t>
              </m:r>
            </m:sup>
          </m:sSup>
          <m:r>
            <m:rPr>
              <m:sty m:val="p"/>
            </m:rPr>
            <m:t>(</m:t>
          </m:r>
          <m:r>
            <m:t>G</m:t>
          </m:r>
          <m:r>
            <m:rPr>
              <m:sty m:val="p"/>
            </m:rPr>
            <m:t>,</m:t>
          </m:r>
          <m:sSubSup>
            <m:e>
              <m:r>
                <m:t>c</m:t>
              </m:r>
            </m:e>
            <m:sub>
              <m:r>
                <m:t>c</m:t>
              </m:r>
            </m:sub>
            <m:sup>
              <m:r>
                <m:rPr>
                  <m:sty m:val="p"/>
                </m:rPr>
                <m:t>(</m:t>
              </m:r>
              <m:r>
                <m:t>u</m:t>
              </m:r>
              <m:r>
                <m:t>v</m:t>
              </m:r>
              <m:r>
                <m:rPr>
                  <m:sty m:val="p"/>
                </m:rPr>
                <m:t>)</m:t>
              </m:r>
            </m:sup>
          </m:sSubSup>
          <m:r>
            <m:rPr>
              <m:sty m:val="p"/>
            </m:rPr>
            <m:t>)</m:t>
          </m:r>
          <m:r>
            <m:rPr>
              <m:sty m:val="p"/>
            </m:rPr>
            <m:t>≥</m:t>
          </m:r>
          <m:sSub>
            <m:e>
              <m:r>
                <m:t>D</m:t>
              </m:r>
            </m:e>
            <m:sub>
              <m:r>
                <m:t>t</m:t>
              </m:r>
            </m:sub>
          </m:sSub>
          <m:r>
            <m:rPr>
              <m:sty m:val="p"/>
            </m:rPr>
            <m:t>}</m:t>
          </m:r>
          <m:r>
            <m:rPr>
              <m:sty m:val="p"/>
            </m:rPr>
            <m:t>,</m:t>
          </m:r>
        </m:oMath>
      </m:oMathPara>
    </w:p>
    <w:p>
      <w:pPr>
        <w:pStyle w:val="FirstParagraph"/>
      </w:pPr>
      <w:r>
        <w:t xml:space="preserve">where</w:t>
      </w:r>
      <w:r>
        <w:t xml:space="preserve"> </w:t>
      </w:r>
      <m:oMath>
        <m:sSubSup>
          <m:e>
            <m:r>
              <m:t>c</m:t>
            </m:r>
          </m:e>
          <m:sub>
            <m:r>
              <m:t>c</m:t>
            </m:r>
          </m:sub>
          <m:sup>
            <m:r>
              <m:rPr>
                <m:sty m:val="p"/>
              </m:rPr>
              <m:t>(</m:t>
            </m:r>
            <m:r>
              <m:t>u</m:t>
            </m:r>
            <m:r>
              <m:t>v</m:t>
            </m:r>
            <m:r>
              <m:rPr>
                <m:sty m:val="p"/>
              </m:rPr>
              <m:t>)</m:t>
            </m:r>
          </m:sup>
        </m:sSubSup>
      </m:oMath>
      <w:r>
        <w:t xml:space="preserve"> </w:t>
      </w:r>
      <w:r>
        <w:t xml:space="preserve">replaces</w:t>
      </w:r>
      <w:r>
        <w:t xml:space="preserve"> </w:t>
      </w:r>
      <m:oMath>
        <m:sSub>
          <m:e>
            <m:r>
              <m:t>c</m:t>
            </m:r>
          </m:e>
          <m:sub>
            <m:r>
              <m:t>u</m:t>
            </m:r>
            <m:r>
              <m:t>v</m:t>
            </m:r>
          </m:sub>
        </m:sSub>
      </m:oMath>
      <w:r>
        <w:t xml:space="preserve"> </w:t>
      </w:r>
      <w:r>
        <w:t xml:space="preserve">by</w:t>
      </w:r>
      <w:r>
        <w:t xml:space="preserve"> </w:t>
      </w:r>
      <m:oMath>
        <m:r>
          <m:t>c</m:t>
        </m:r>
      </m:oMath>
      <w:r>
        <w:t xml:space="preserve">. The degradation margin</w:t>
      </w:r>
    </w:p>
    <w:p>
      <w:pPr>
        <w:pStyle w:val="BodyText"/>
      </w:pPr>
      <m:oMathPara>
        <m:oMathParaPr>
          <m:jc m:val="center"/>
        </m:oMathParaPr>
        <m:oMath>
          <m:sSub>
            <m:e>
              <m:r>
                <m:t>c</m:t>
              </m:r>
            </m:e>
            <m:sub>
              <m:r>
                <m:t>u</m:t>
              </m:r>
              <m:r>
                <m:t>v</m:t>
              </m:r>
            </m:sub>
          </m:sSub>
          <m:r>
            <m:rPr>
              <m:sty m:val="p"/>
            </m:rPr>
            <m:t>−</m:t>
          </m:r>
          <m:sSubSup>
            <m:e>
              <m:r>
                <m:t>c</m:t>
              </m:r>
            </m:e>
            <m:sub>
              <m:r>
                <m:t>u</m:t>
              </m:r>
              <m:r>
                <m:t>v</m:t>
              </m:r>
            </m:sub>
            <m:sup>
              <m:r>
                <m:rPr>
                  <m:sty m:val="p"/>
                </m:rPr>
                <m:t>†</m:t>
              </m:r>
            </m:sup>
          </m:sSubSup>
        </m:oMath>
      </m:oMathPara>
    </w:p>
    <w:p>
      <w:pPr>
        <w:pStyle w:val="FirstParagraph"/>
      </w:pPr>
      <w:r>
        <w:t xml:space="preserve">measures how much capacity loss can be tolerated before the target is breached.</w:t>
      </w:r>
    </w:p>
    <w:bookmarkEnd w:id="38"/>
    <w:bookmarkStart w:id="39" w:name="upgrade-threshold."/>
    <w:p>
      <w:pPr>
        <w:pStyle w:val="Heading4"/>
      </w:pPr>
      <w:r>
        <w:rPr>
          <w:rStyle w:val="SectionNumber"/>
        </w:rPr>
        <w:t xml:space="preserve">4.6.0.2</w:t>
      </w:r>
      <w:r>
        <w:tab/>
      </w:r>
      <w:r>
        <w:t xml:space="preserve">Upgrade threshold.</w:t>
      </w:r>
    </w:p>
    <w:p>
      <w:pPr>
        <w:pStyle w:val="FirstParagraph"/>
      </w:pPr>
      <w:r>
        <w:t xml:space="preserve">If the current throughput is below the target, the upgrade threshold is the minimum capacity value required on</w:t>
      </w:r>
      <w:r>
        <w:t xml:space="preserve"> </w:t>
      </w:r>
      <m:oMath>
        <m:r>
          <m:rPr>
            <m:sty m:val="p"/>
          </m:rPr>
          <m:t>(</m:t>
        </m:r>
        <m:r>
          <m:t>u</m:t>
        </m:r>
        <m:r>
          <m:rPr>
            <m:sty m:val="p"/>
          </m:rPr>
          <m:t>,</m:t>
        </m:r>
        <m:r>
          <m:t>v</m:t>
        </m:r>
        <m:r>
          <m:rPr>
            <m:sty m:val="p"/>
          </m:rPr>
          <m:t>)</m:t>
        </m:r>
      </m:oMath>
      <w:r>
        <w:t xml:space="preserve"> </w:t>
      </w:r>
      <w:r>
        <w:t xml:space="preserve">for the network to first achieve</w:t>
      </w:r>
      <w:r>
        <w:t xml:space="preserve"> </w:t>
      </w:r>
      <m:oMath>
        <m:sSub>
          <m:e>
            <m:r>
              <m:t>D</m:t>
            </m:r>
          </m:e>
          <m:sub>
            <m:r>
              <m:t>t</m:t>
            </m:r>
          </m:sub>
        </m:sSub>
      </m:oMath>
      <w:r>
        <w:t xml:space="preserve">. Since the required capacity may exceed the current capacity, the implementation first brackets the threshold by doubling the candidate capacity and then refines the result recursively.</w:t>
      </w:r>
    </w:p>
    <w:p>
      <w:pPr>
        <w:pStyle w:val="BodyText"/>
      </w:pPr>
      <w:r>
        <w:t xml:space="preserve">If increasing</w:t>
      </w:r>
      <w:r>
        <w:t xml:space="preserve"> </w:t>
      </w:r>
      <m:oMath>
        <m:sSub>
          <m:e>
            <m:r>
              <m:t>c</m:t>
            </m:r>
          </m:e>
          <m:sub>
            <m:r>
              <m:t>u</m:t>
            </m:r>
            <m:r>
              <m:t>v</m:t>
            </m:r>
          </m:sub>
        </m:sSub>
      </m:oMath>
      <w:r>
        <w:t xml:space="preserve"> </w:t>
      </w:r>
      <w:r>
        <w:t xml:space="preserve">cannot increase throughput because the active bottleneck lies elsewhere, the module returns an</w:t>
      </w:r>
      <w:r>
        <w:t xml:space="preserve"> </w:t>
      </w:r>
      <w:r>
        <w:rPr>
          <w:rStyle w:val="VerbatimChar"/>
        </w:rPr>
        <w:t xml:space="preserve">upgrade_ineffective</w:t>
      </w:r>
      <w:r>
        <w:t xml:space="preserve"> </w:t>
      </w:r>
      <w:r>
        <w:t xml:space="preserve">flag.</w:t>
      </w:r>
    </w:p>
    <w:p>
      <w:pPr>
        <w:pStyle w:val="BodyText"/>
      </w:pPr>
      <w:r>
        <w:t xml:space="preserve">This module is especially useful for design studies, because it transforms baseline flow solutions into actionable service-margin information.</w:t>
      </w:r>
    </w:p>
    <w:bookmarkEnd w:id="39"/>
    <w:bookmarkEnd w:id="40"/>
    <w:bookmarkStart w:id="41" w:name="node-capacitated-diagnostics"/>
    <w:p>
      <w:pPr>
        <w:pStyle w:val="Heading2"/>
      </w:pPr>
      <w:r>
        <w:rPr>
          <w:rStyle w:val="SectionNumber"/>
        </w:rPr>
        <w:t xml:space="preserve">4.7</w:t>
      </w:r>
      <w:r>
        <w:tab/>
      </w:r>
      <w:r>
        <w:t xml:space="preserve">Node-Capacitated Diagnostics</w:t>
      </w:r>
    </w:p>
    <w:p>
      <w:pPr>
        <w:pStyle w:val="FirstParagraph"/>
      </w:pPr>
      <w:r>
        <w:t xml:space="preserve">When node capacities are present, the toolkit applies node splitting internally and then computes all diagnostics on the transformed network. Public results are then remapped to the original node set.</w:t>
      </w:r>
    </w:p>
    <w:p>
      <w:pPr>
        <w:pStyle w:val="BodyText"/>
      </w:pPr>
      <w:r>
        <w:t xml:space="preserve">This allows the same diagnostic modules to answer questions such as:</w:t>
      </w:r>
    </w:p>
    <w:p>
      <w:pPr>
        <w:numPr>
          <w:ilvl w:val="0"/>
          <w:numId w:val="1009"/>
        </w:numPr>
      </w:pPr>
      <w:r>
        <w:t xml:space="preserve">which nodes saturate under the node-capacitated solution,</w:t>
      </w:r>
    </w:p>
    <w:p>
      <w:pPr>
        <w:numPr>
          <w:ilvl w:val="0"/>
          <w:numId w:val="1009"/>
        </w:numPr>
      </w:pPr>
      <w:r>
        <w:t xml:space="preserve">how much throughput is lost relative to the edge-only case,</w:t>
      </w:r>
    </w:p>
    <w:p>
      <w:pPr>
        <w:numPr>
          <w:ilvl w:val="0"/>
          <w:numId w:val="1009"/>
        </w:numPr>
      </w:pPr>
      <w:r>
        <w:t xml:space="preserve">which node-capacity upgrades would restore a target demand level.</w:t>
      </w:r>
    </w:p>
    <w:p>
      <w:pPr>
        <w:pStyle w:val="FirstParagraph"/>
      </w:pPr>
      <w:r>
        <w:t xml:space="preserve">Thus, the flow-diagnostic layer is compatible with both edge-capacitated and node-capacitated DAG models.</w:t>
      </w:r>
    </w:p>
    <w:bookmarkEnd w:id="41"/>
    <w:bookmarkStart w:id="42" w:name="implementation-principle"/>
    <w:p>
      <w:pPr>
        <w:pStyle w:val="Heading2"/>
      </w:pPr>
      <w:r>
        <w:rPr>
          <w:rStyle w:val="SectionNumber"/>
        </w:rPr>
        <w:t xml:space="preserve">4.8</w:t>
      </w:r>
      <w:r>
        <w:tab/>
      </w:r>
      <w:r>
        <w:t xml:space="preserve">Implementation Principle</w:t>
      </w:r>
    </w:p>
    <w:p>
      <w:pPr>
        <w:pStyle w:val="FirstParagraph"/>
      </w:pPr>
      <w:r>
        <w:t xml:space="preserve">The core implementation principle across all modules is reuse. The shared graph object, terminal reduction, node splitting, baseline flow solve, residual graph, and cut structure are computed once and then reused by the downstream analyses wherever possible.</w:t>
      </w:r>
    </w:p>
    <w:p>
      <w:pPr>
        <w:pStyle w:val="BodyText"/>
      </w:pPr>
      <w:r>
        <w:t xml:space="preserve">This reduces repeated computation, keeps the outputs consistent across modules, and makes it possible to compare multiple diagnostics on the same underlying network state. The next section discusses the exactness, validation procedures, and scope boundaries of the toolkit.</w:t>
      </w:r>
    </w:p>
    <w:bookmarkEnd w:id="42"/>
    <w:bookmarkEnd w:id="43"/>
    <w:bookmarkStart w:id="64" w:name="X2a601d6e56f25fe06343c66598270a13fc550b7"/>
    <w:p>
      <w:pPr>
        <w:pStyle w:val="Heading1"/>
      </w:pPr>
      <w:r>
        <w:rPr>
          <w:rStyle w:val="SectionNumber"/>
        </w:rPr>
        <w:t xml:space="preserve">5</w:t>
      </w:r>
      <w:r>
        <w:tab/>
      </w:r>
      <w:r>
        <w:t xml:space="preserve">Flow Diagnostics and Derived Analysis Modules</w:t>
      </w:r>
    </w:p>
    <w:p>
      <w:pPr>
        <w:pStyle w:val="FirstParagraph"/>
      </w:pPr>
      <w:r>
        <w:t xml:space="preserve">The previous section described the computational framework and solver options used to obtain a baseline max-flow solution. This section formalises the diagnostic quantities built on top of that solution. The central idea is that once a baseline flow</w:t>
      </w:r>
      <w:r>
        <w:t xml:space="preserve"> </w:t>
      </w:r>
      <m:oMath>
        <m:sSup>
          <m:e>
            <m:r>
              <m:t>f</m:t>
            </m:r>
          </m:e>
          <m:sup>
            <m:r>
              <m:rPr>
                <m:sty m:val="p"/>
              </m:rPr>
              <m:t>⋆</m:t>
            </m:r>
          </m:sup>
        </m:sSup>
      </m:oMath>
      <w:r>
        <w:t xml:space="preserve">, residual graph, and minimum-cut structure have been computed, they can be reused to answer a much broader set of engineering questions than throughput alone.</w:t>
      </w:r>
    </w:p>
    <w:p>
      <w:pPr>
        <w:pStyle w:val="BodyText"/>
      </w:pPr>
      <w:r>
        <w:t xml:space="preserve">Throughout this section, let</w:t>
      </w:r>
    </w:p>
    <w:p>
      <w:pPr>
        <w:pStyle w:val="BodyText"/>
      </w:pPr>
      <m:oMathPara>
        <m:oMathParaPr>
          <m:jc m:val="center"/>
        </m:oMathParaPr>
        <m:oMath>
          <m:sSup>
            <m:e>
              <m:r>
                <m:t>F</m:t>
              </m:r>
            </m:e>
            <m:sup>
              <m:r>
                <m:rPr>
                  <m:sty m:val="p"/>
                </m:rPr>
                <m:t>⋆</m:t>
              </m:r>
            </m:sup>
          </m:sSup>
          <m:r>
            <m:rPr>
              <m:sty m:val="p"/>
            </m:rPr>
            <m:t>=</m:t>
          </m:r>
          <m:sSup>
            <m:e>
              <m:r>
                <m:t>F</m:t>
              </m:r>
            </m:e>
            <m:sup>
              <m:r>
                <m:rPr>
                  <m:sty m:val="p"/>
                </m:rPr>
                <m:t>⋆</m:t>
              </m:r>
            </m:sup>
          </m:sSup>
          <m:r>
            <m:rPr>
              <m:sty m:val="p"/>
            </m:rPr>
            <m:t>(</m:t>
          </m:r>
          <m:r>
            <m:t>G</m:t>
          </m:r>
          <m:r>
            <m:rPr>
              <m:sty m:val="p"/>
            </m:rPr>
            <m:t>,</m:t>
          </m:r>
          <m:r>
            <m:t>c</m:t>
          </m:r>
          <m:r>
            <m:rPr>
              <m:sty m:val="p"/>
            </m:rPr>
            <m:t>)</m:t>
          </m:r>
        </m:oMath>
      </m:oMathPara>
    </w:p>
    <w:p>
      <w:pPr>
        <w:pStyle w:val="FirstParagraph"/>
      </w:pPr>
      <w:r>
        <w:t xml:space="preserve">denote the optimal throughput of the current network under the active capacity assignment, and let</w:t>
      </w:r>
      <w:r>
        <w:t xml:space="preserve"> </w:t>
      </w:r>
      <m:oMath>
        <m:sSup>
          <m:e>
            <m:r>
              <m:t>f</m:t>
            </m:r>
          </m:e>
          <m:sup>
            <m:r>
              <m:rPr>
                <m:sty m:val="p"/>
              </m:rPr>
              <m:t>⋆</m:t>
            </m:r>
          </m:sup>
        </m:sSup>
      </m:oMath>
      <w:r>
        <w:t xml:space="preserve"> </w:t>
      </w:r>
      <w:r>
        <w:t xml:space="preserve">denote the corresponding solved edge-flow function.</w:t>
      </w:r>
    </w:p>
    <w:bookmarkStart w:id="44" w:name="baseline-flow-solve-and-solver-choice-1"/>
    <w:p>
      <w:pPr>
        <w:pStyle w:val="Heading2"/>
      </w:pPr>
      <w:r>
        <w:rPr>
          <w:rStyle w:val="SectionNumber"/>
        </w:rPr>
        <w:t xml:space="preserve">5.1</w:t>
      </w:r>
      <w:r>
        <w:tab/>
      </w:r>
      <w:r>
        <w:t xml:space="preserve">Baseline Flow Solve and Solver Choice</w:t>
      </w:r>
    </w:p>
    <w:p>
      <w:pPr>
        <w:pStyle w:val="FirstParagraph"/>
      </w:pPr>
      <w:r>
        <w:t xml:space="preserve">The baseline flow solve addresses the most immediate query:</w:t>
      </w:r>
    </w:p>
    <w:p>
      <w:pPr>
        <w:pStyle w:val="BlockText"/>
      </w:pPr>
      <w:r>
        <w:rPr>
          <w:b/>
          <w:bCs/>
        </w:rPr>
        <w:t xml:space="preserve">How much throughput can the network sustain under the current capacities?</w:t>
      </w:r>
    </w:p>
    <w:p>
      <w:pPr>
        <w:pStyle w:val="FirstParagraph"/>
      </w:pPr>
      <w:r>
        <w:t xml:space="preserve">As discussed in the previous section, the toolkit supports three classical max-flow solvers:</w:t>
      </w:r>
    </w:p>
    <w:p>
      <w:pPr>
        <w:numPr>
          <w:ilvl w:val="0"/>
          <w:numId w:val="1010"/>
        </w:numPr>
      </w:pPr>
      <w:r>
        <w:t xml:space="preserve">Edmonds–Karp, which is most useful for smaller networks and debugging;</w:t>
      </w:r>
    </w:p>
    <w:p>
      <w:pPr>
        <w:numPr>
          <w:ilvl w:val="0"/>
          <w:numId w:val="1010"/>
        </w:numPr>
      </w:pPr>
      <w:r>
        <w:t xml:space="preserve">Dinic, which is the default option for most layered DAGs;</w:t>
      </w:r>
    </w:p>
    <w:p>
      <w:pPr>
        <w:numPr>
          <w:ilvl w:val="0"/>
          <w:numId w:val="1010"/>
        </w:numPr>
      </w:pPr>
      <w:r>
        <w:t xml:space="preserve">Push–Relabel, which is particularly useful in dense or high fan-out networks.</w:t>
      </w:r>
    </w:p>
    <w:p>
      <w:pPr>
        <w:pStyle w:val="FirstParagraph"/>
      </w:pPr>
      <w:r>
        <w:t xml:space="preserve">The baseline solve returns the maximum deliverable throughput</w:t>
      </w:r>
      <w:r>
        <w:t xml:space="preserve"> </w:t>
      </w:r>
      <m:oMath>
        <m:sSup>
          <m:e>
            <m:r>
              <m:t>F</m:t>
            </m:r>
          </m:e>
          <m:sup>
            <m:r>
              <m:rPr>
                <m:sty m:val="p"/>
              </m:rPr>
              <m:t>⋆</m:t>
            </m:r>
          </m:sup>
        </m:sSup>
      </m:oMath>
      <w:r>
        <w:t xml:space="preserve">, together with the solved edge flows, residual capacities, sink allocations, and a representative minimum-cut partition. These outputs form the computational basis for all subsequent modules.</w:t>
      </w:r>
    </w:p>
    <w:bookmarkEnd w:id="44"/>
    <w:bookmarkStart w:id="46" w:name="min-cut-utility-module-1"/>
    <w:p>
      <w:pPr>
        <w:pStyle w:val="Heading2"/>
      </w:pPr>
      <w:r>
        <w:rPr>
          <w:rStyle w:val="SectionNumber"/>
        </w:rPr>
        <w:t xml:space="preserve">5.2</w:t>
      </w:r>
      <w:r>
        <w:tab/>
      </w:r>
      <w:r>
        <w:t xml:space="preserve">Min-Cut Utility Module</w:t>
      </w:r>
    </w:p>
    <w:p>
      <w:pPr>
        <w:pStyle w:val="BlockText"/>
      </w:pPr>
      <w:r>
        <w:rPr>
          <w:b/>
          <w:bCs/>
        </w:rPr>
        <w:t xml:space="preserve">Motivating question:</w:t>
      </w:r>
      <w:r>
        <w:t xml:space="preserve"> </w:t>
      </w:r>
      <w:r>
        <w:rPr>
          <w:i/>
          <w:iCs/>
        </w:rPr>
        <w:t xml:space="preserve">How constrained is the bottleneck, and in how many equivalent ways?</w:t>
      </w:r>
    </w:p>
    <w:p>
      <w:pPr>
        <w:pStyle w:val="FirstParagraph"/>
      </w:pPr>
      <w:r>
        <w:t xml:space="preserve">A baseline max-flow solve produces one valid minimum cut, but this does not imply that the minimum-cut structure is unique. In infrastructure and process networks, it is often important to know whether the bottleneck is tightly localised or whether many distinct cut partitions achieve the same capacity.</w:t>
      </w:r>
    </w:p>
    <w:p>
      <w:pPr>
        <w:pStyle w:val="BodyText"/>
      </w:pPr>
      <w:r>
        <w:t xml:space="preserve">To capture this, the toolkit computes an extended cut structure from the final residual graph.</w:t>
      </w:r>
    </w:p>
    <w:p>
      <w:pPr>
        <w:pStyle w:val="BodyText"/>
      </w:pPr>
      <w:r>
        <w:t xml:space="preserve">Let</w:t>
      </w:r>
      <w:r>
        <w:t xml:space="preserve"> </w:t>
      </w:r>
      <m:oMath>
        <m:sSub>
          <m:e>
            <m:r>
              <m:t>R</m:t>
            </m:r>
          </m:e>
          <m:sub>
            <m:r>
              <m:t>T</m:t>
            </m:r>
          </m:sub>
        </m:sSub>
        <m:r>
          <m:rPr>
            <m:sty m:val="p"/>
          </m:rPr>
          <m:t>⊆</m:t>
        </m:r>
        <m:r>
          <m:t>V</m:t>
        </m:r>
      </m:oMath>
      <w:r>
        <w:t xml:space="preserve"> </w:t>
      </w:r>
      <w:r>
        <w:t xml:space="preserve">be the set of nodes backward-reachable from the sink region in the final residual graph.</w:t>
      </w:r>
    </w:p>
    <w:p>
      <w:pPr>
        <w:pStyle w:val="BodyText"/>
      </w:pPr>
      <w:r>
        <w:rPr>
          <w:b/>
          <w:bCs/>
        </w:rPr>
        <w:t xml:space="preserve">Definition 3</w:t>
      </w:r>
      <w:r>
        <w:t xml:space="preserve"> </w:t>
      </w:r>
      <w:r>
        <w:t xml:space="preserve">(Extended Source Partition).</w:t>
      </w:r>
      <w:r>
        <w:t xml:space="preserve"> </w:t>
      </w:r>
      <w:r>
        <w:t xml:space="preserve"> </w:t>
      </w:r>
      <w:r>
        <w:rPr>
          <w:i/>
          <w:iCs/>
        </w:rPr>
        <w:t xml:space="preserve">The extended source-side region is</w:t>
      </w:r>
      <w:r>
        <w:rPr>
          <w:i/>
          <w:iCs/>
        </w:rPr>
        <w:t xml:space="preserve"> </w:t>
      </w:r>
      <m:oMathPara>
        <m:oMathParaPr>
          <m:jc m:val="center"/>
        </m:oMathParaPr>
        <m:oMath>
          <m:sSup>
            <m:e>
              <m:r>
                <m:t>S</m:t>
              </m:r>
            </m:e>
            <m:sup>
              <m:r>
                <m:rPr>
                  <m:sty m:val="p"/>
                </m:rPr>
                <m:t>⋆</m:t>
              </m:r>
              <m:r>
                <m:rPr>
                  <m:sty m:val="p"/>
                </m:rPr>
                <m:t>⋆</m:t>
              </m:r>
            </m:sup>
          </m:sSup>
          <m:r>
            <m:rPr>
              <m:sty m:val="p"/>
            </m:rPr>
            <m:t>=</m:t>
          </m:r>
          <m:r>
            <m:t>V</m:t>
          </m:r>
          <m:r>
            <m:rPr>
              <m:sty m:val="p"/>
            </m:rPr>
            <m:t>\</m:t>
          </m:r>
          <m:sSub>
            <m:e>
              <m:r>
                <m:t>R</m:t>
              </m:r>
            </m:e>
            <m:sub>
              <m:r>
                <m:t>T</m:t>
              </m:r>
            </m:sub>
          </m:sSub>
          <m:r>
            <m:rPr>
              <m:sty m:val="p"/>
            </m:rPr>
            <m:t>,</m:t>
          </m:r>
        </m:oMath>
      </m:oMathPara>
      <w:r>
        <w:rPr>
          <w:i/>
          <w:iCs/>
        </w:rPr>
        <w:t xml:space="preserve"> </w:t>
      </w:r>
      <w:r>
        <w:rPr>
          <w:i/>
          <w:iCs/>
        </w:rPr>
        <w:t xml:space="preserve">restricted to original graph nodes. Any node outside</w:t>
      </w:r>
      <w:r>
        <w:rPr>
          <w:i/>
          <w:iCs/>
        </w:rPr>
        <w:t xml:space="preserve"> </w:t>
      </w:r>
      <m:oMath>
        <m:sSub>
          <m:e>
            <m:r>
              <m:t>R</m:t>
            </m:r>
          </m:e>
          <m:sub>
            <m:r>
              <m:t>T</m:t>
            </m:r>
          </m:sub>
        </m:sSub>
      </m:oMath>
      <w:r>
        <w:rPr>
          <w:i/>
          <w:iCs/>
        </w:rPr>
        <w:t xml:space="preserve"> </w:t>
      </w:r>
      <w:r>
        <w:rPr>
          <w:i/>
          <w:iCs/>
        </w:rPr>
        <w:t xml:space="preserve">cannot reach the sink under the current residual state, so assigning it to the source partition cannot increase cut capacity. Consequently,</w:t>
      </w:r>
      <w:r>
        <w:rPr>
          <w:i/>
          <w:iCs/>
        </w:rPr>
        <w:t xml:space="preserve"> </w:t>
      </w:r>
      <m:oMathPara>
        <m:oMathParaPr>
          <m:jc m:val="center"/>
        </m:oMathParaPr>
        <m:oMath>
          <m:sSup>
            <m:e>
              <m:r>
                <m:t>S</m:t>
              </m:r>
            </m:e>
            <m:sup>
              <m:r>
                <m:rPr>
                  <m:sty m:val="p"/>
                </m:rPr>
                <m:t>⋆</m:t>
              </m:r>
            </m:sup>
          </m:sSup>
          <m:r>
            <m:rPr>
              <m:sty m:val="p"/>
            </m:rPr>
            <m:t>⊆</m:t>
          </m:r>
          <m:sSup>
            <m:e>
              <m:r>
                <m:t>S</m:t>
              </m:r>
            </m:e>
            <m:sup>
              <m:r>
                <m:rPr>
                  <m:sty m:val="p"/>
                </m:rPr>
                <m:t>⋆</m:t>
              </m:r>
              <m:r>
                <m:rPr>
                  <m:sty m:val="p"/>
                </m:rPr>
                <m:t>⋆</m:t>
              </m:r>
            </m:sup>
          </m:sSup>
          <m:r>
            <m:rPr>
              <m:sty m:val="p"/>
            </m:rPr>
            <m:t>.</m:t>
          </m:r>
        </m:oMath>
      </m:oMathPara>
    </w:p>
    <w:p>
      <w:pPr>
        <w:pStyle w:val="FirstParagraph"/>
      </w:pPr>
      <w:r>
        <w:rPr>
          <w:b/>
          <w:bCs/>
        </w:rPr>
        <w:t xml:space="preserve">Definition 4</w:t>
      </w:r>
      <w:r>
        <w:t xml:space="preserve"> </w:t>
      </w:r>
      <w:r>
        <w:t xml:space="preserve">(Free Zone).</w:t>
      </w:r>
      <w:r>
        <w:t xml:space="preserve"> </w:t>
      </w:r>
      <w:r>
        <w:t xml:space="preserve"> </w:t>
      </w:r>
      <w:r>
        <w:rPr>
          <w:i/>
          <w:iCs/>
        </w:rPr>
        <w:t xml:space="preserve">Given the representative source-side minimum-cut partition</w:t>
      </w:r>
      <w:r>
        <w:rPr>
          <w:i/>
          <w:iCs/>
        </w:rPr>
        <w:t xml:space="preserve"> </w:t>
      </w:r>
      <m:oMath>
        <m:sSup>
          <m:e>
            <m:r>
              <m:t>S</m:t>
            </m:r>
          </m:e>
          <m:sup>
            <m:r>
              <m:rPr>
                <m:sty m:val="p"/>
              </m:rPr>
              <m:t>⋆</m:t>
            </m:r>
          </m:sup>
        </m:sSup>
      </m:oMath>
      <w:r>
        <w:rPr>
          <w:i/>
          <w:iCs/>
        </w:rPr>
        <w:t xml:space="preserve">, the free zone is</w:t>
      </w:r>
      <w:r>
        <w:rPr>
          <w:i/>
          <w:iCs/>
        </w:rPr>
        <w:t xml:space="preserve"> </w:t>
      </w:r>
      <m:oMathPara>
        <m:oMathParaPr>
          <m:jc m:val="center"/>
        </m:oMathParaPr>
        <m:oMath>
          <m:r>
            <m:rPr>
              <m:scr m:val="script"/>
              <m:sty m:val="p"/>
            </m:rPr>
            <m:t>F</m:t>
          </m:r>
          <m:r>
            <m:rPr>
              <m:sty m:val="p"/>
            </m:rPr>
            <m:t>=</m:t>
          </m:r>
          <m:sSup>
            <m:e>
              <m:r>
                <m:t>S</m:t>
              </m:r>
            </m:e>
            <m:sup>
              <m:r>
                <m:rPr>
                  <m:sty m:val="p"/>
                </m:rPr>
                <m:t>⋆</m:t>
              </m:r>
              <m:r>
                <m:rPr>
                  <m:sty m:val="p"/>
                </m:rPr>
                <m:t>⋆</m:t>
              </m:r>
            </m:sup>
          </m:sSup>
          <m:r>
            <m:rPr>
              <m:sty m:val="p"/>
            </m:rPr>
            <m:t>\</m:t>
          </m:r>
          <m:sSup>
            <m:e>
              <m:r>
                <m:t>S</m:t>
              </m:r>
            </m:e>
            <m:sup>
              <m:r>
                <m:rPr>
                  <m:sty m:val="p"/>
                </m:rPr>
                <m:t>⋆</m:t>
              </m:r>
            </m:sup>
          </m:sSup>
          <m:r>
            <m:rPr>
              <m:sty m:val="p"/>
            </m:rPr>
            <m:t>.</m:t>
          </m:r>
        </m:oMath>
      </m:oMathPara>
      <w:r>
        <w:rPr>
          <w:i/>
          <w:iCs/>
        </w:rPr>
        <w:t xml:space="preserve"> </w:t>
      </w:r>
      <w:r>
        <w:rPr>
          <w:i/>
          <w:iCs/>
        </w:rPr>
        <w:t xml:space="preserve">Nodes in</w:t>
      </w:r>
      <w:r>
        <w:rPr>
          <w:i/>
          <w:iCs/>
        </w:rPr>
        <w:t xml:space="preserve"> </w:t>
      </w:r>
      <m:oMath>
        <m:r>
          <m:rPr>
            <m:scr m:val="script"/>
            <m:sty m:val="p"/>
          </m:rPr>
          <m:t>F</m:t>
        </m:r>
      </m:oMath>
      <w:r>
        <w:rPr>
          <w:i/>
          <w:iCs/>
        </w:rPr>
        <w:t xml:space="preserve"> </w:t>
      </w:r>
      <w:r>
        <w:rPr>
          <w:i/>
          <w:iCs/>
        </w:rPr>
        <w:t xml:space="preserve">can be assigned to either side of a minimum cut without changing its capacity. Every valid minimum cut therefore takes the form</w:t>
      </w:r>
      <w:r>
        <w:rPr>
          <w:i/>
          <w:iCs/>
        </w:rPr>
        <w:t xml:space="preserve"> </w:t>
      </w:r>
      <m:oMathPara>
        <m:oMathParaPr>
          <m:jc m:val="center"/>
        </m:oMathParaPr>
        <m:oMath>
          <m:r>
            <m:t>S</m:t>
          </m:r>
          <m:r>
            <m:rPr>
              <m:sty m:val="p"/>
            </m:rPr>
            <m:t>=</m:t>
          </m:r>
          <m:sSup>
            <m:e>
              <m:r>
                <m:t>S</m:t>
              </m:r>
            </m:e>
            <m:sup>
              <m:r>
                <m:rPr>
                  <m:sty m:val="p"/>
                </m:rPr>
                <m:t>⋆</m:t>
              </m:r>
            </m:sup>
          </m:sSup>
          <m:r>
            <m:rPr>
              <m:sty m:val="p"/>
            </m:rPr>
            <m:t>∪</m:t>
          </m:r>
          <m:r>
            <m:t>R</m:t>
          </m:r>
          <m:r>
            <m:rPr>
              <m:sty m:val="p"/>
            </m:rPr>
            <m:t>,</m:t>
          </m:r>
          <m:r>
            <m:t>  </m:t>
          </m:r>
          <m:r>
            <m:t>R</m:t>
          </m:r>
          <m:r>
            <m:rPr>
              <m:sty m:val="p"/>
            </m:rPr>
            <m:t>⊆</m:t>
          </m:r>
          <m:r>
            <m:rPr>
              <m:scr m:val="script"/>
              <m:sty m:val="p"/>
            </m:rPr>
            <m:t>F</m:t>
          </m:r>
          <m:r>
            <m:rPr>
              <m:sty m:val="p"/>
            </m:rPr>
            <m:t>.</m:t>
          </m:r>
        </m:oMath>
      </m:oMathPara>
    </w:p>
    <w:p>
      <w:pPr>
        <w:pStyle w:val="FirstParagraph"/>
      </w:pPr>
      <w:r>
        <w:t xml:space="preserve">The free-zone size</w:t>
      </w:r>
      <w:r>
        <w:t xml:space="preserve"> </w:t>
      </w:r>
      <m:oMath>
        <m:r>
          <m:rPr>
            <m:sty m:val="p"/>
          </m:rPr>
          <m:t>|</m:t>
        </m:r>
        <m:r>
          <m:rPr>
            <m:scr m:val="script"/>
            <m:sty m:val="p"/>
          </m:rPr>
          <m:t>F</m:t>
        </m:r>
        <m:r>
          <m:rPr>
            <m:sty m:val="p"/>
          </m:rPr>
          <m:t>|</m:t>
        </m:r>
      </m:oMath>
      <w:r>
        <w:t xml:space="preserve"> </w:t>
      </w:r>
      <w:r>
        <w:t xml:space="preserve">quantifies the degeneracy of the bottleneck structure. When</w:t>
      </w:r>
      <w:r>
        <w:t xml:space="preserve"> </w:t>
      </w:r>
      <m:oMath>
        <m:r>
          <m:rPr>
            <m:sty m:val="p"/>
          </m:rPr>
          <m:t>|</m:t>
        </m:r>
        <m:r>
          <m:rPr>
            <m:scr m:val="script"/>
            <m:sty m:val="p"/>
          </m:rPr>
          <m:t>F</m:t>
        </m:r>
        <m:r>
          <m:rPr>
            <m:sty m:val="p"/>
          </m:rPr>
          <m:t>|</m:t>
        </m:r>
        <m:r>
          <m:rPr>
            <m:sty m:val="p"/>
          </m:rPr>
          <m:t>=</m:t>
        </m:r>
        <m:r>
          <m:t>0</m:t>
        </m:r>
      </m:oMath>
      <w:r>
        <w:t xml:space="preserve">, the representative minimum cut is unique. When</w:t>
      </w:r>
      <w:r>
        <w:t xml:space="preserve"> </w:t>
      </w:r>
      <m:oMath>
        <m:r>
          <m:rPr>
            <m:sty m:val="p"/>
          </m:rPr>
          <m:t>|</m:t>
        </m:r>
        <m:r>
          <m:rPr>
            <m:scr m:val="script"/>
            <m:sty m:val="p"/>
          </m:rPr>
          <m:t>F</m:t>
        </m:r>
        <m:r>
          <m:rPr>
            <m:sty m:val="p"/>
          </m:rPr>
          <m:t>|</m:t>
        </m:r>
        <m:r>
          <m:rPr>
            <m:sty m:val="p"/>
          </m:rPr>
          <m:t>&gt;</m:t>
        </m:r>
        <m:r>
          <m:t>0</m:t>
        </m:r>
      </m:oMath>
      <w:r>
        <w:t xml:space="preserve">, there are</w:t>
      </w:r>
      <w:r>
        <w:t xml:space="preserve"> </w:t>
      </w:r>
      <m:oMath>
        <m:sSup>
          <m:e>
            <m:r>
              <m:t>2</m:t>
            </m:r>
          </m:e>
          <m:sup>
            <m:r>
              <m:rPr>
                <m:sty m:val="p"/>
              </m:rPr>
              <m:t>|</m:t>
            </m:r>
            <m:r>
              <m:rPr>
                <m:scr m:val="script"/>
                <m:sty m:val="p"/>
              </m:rPr>
              <m:t>F</m:t>
            </m:r>
            <m:r>
              <m:rPr>
                <m:sty m:val="p"/>
              </m:rPr>
              <m:t>|</m:t>
            </m:r>
          </m:sup>
        </m:sSup>
      </m:oMath>
      <w:r>
        <w:t xml:space="preserve"> </w:t>
      </w:r>
      <w:r>
        <w:t xml:space="preserve">distinct minimum cuts.</w:t>
      </w:r>
    </w:p>
    <w:p>
      <w:pPr>
        <w:pStyle w:val="BodyText"/>
      </w:pPr>
      <w:r>
        <w:t xml:space="preserve">Two edge sets are then derived:</w:t>
      </w:r>
    </w:p>
    <w:p>
      <w:pPr>
        <w:pStyle w:val="BodyText"/>
      </w:pPr>
      <m:oMathPara>
        <m:oMathParaPr>
          <m:jc m:val="center"/>
        </m:oMathParaPr>
        <m:oMath>
          <m:sSub>
            <m:e>
              <m:r>
                <m:t>E</m:t>
              </m:r>
            </m:e>
            <m:sub>
              <m:r>
                <m:rPr>
                  <m:nor/>
                  <m:sty m:val="p"/>
                </m:rPr>
                <m:t>some</m:t>
              </m:r>
            </m:sub>
          </m:sSub>
          <m:r>
            <m:rPr>
              <m:sty m:val="p"/>
            </m:rPr>
            <m:t>=</m:t>
          </m:r>
          <m:r>
            <m:rPr>
              <m:sty m:val="p"/>
            </m:rPr>
            <m:t>{</m:t>
          </m:r>
          <m:r>
            <m:rPr>
              <m:sty m:val="p"/>
            </m:rPr>
            <m:t>(</m:t>
          </m:r>
          <m:r>
            <m:t>u</m:t>
          </m:r>
          <m:r>
            <m:rPr>
              <m:sty m:val="p"/>
            </m:rPr>
            <m:t>,</m:t>
          </m:r>
          <m:r>
            <m:t>v</m:t>
          </m:r>
          <m:r>
            <m:rPr>
              <m:sty m:val="p"/>
            </m:rPr>
            <m:t>)</m:t>
          </m:r>
          <m:r>
            <m:rPr>
              <m:sty m:val="p"/>
            </m:rPr>
            <m:t>∈</m:t>
          </m:r>
          <m:r>
            <m:t>E</m:t>
          </m:r>
          <m:r>
            <m:rPr>
              <m:sty m:val="p"/>
            </m:rPr>
            <m:t>:</m:t>
          </m:r>
          <m:sSubSup>
            <m:e>
              <m:r>
                <m:t>f</m:t>
              </m:r>
            </m:e>
            <m:sub>
              <m:r>
                <m:t>u</m:t>
              </m:r>
              <m:r>
                <m:t>v</m:t>
              </m:r>
            </m:sub>
            <m:sup>
              <m:r>
                <m:rPr>
                  <m:sty m:val="p"/>
                </m:rPr>
                <m:t>⋆</m:t>
              </m:r>
            </m:sup>
          </m:sSubSup>
          <m:r>
            <m:rPr>
              <m:sty m:val="p"/>
            </m:rPr>
            <m:t>=</m:t>
          </m:r>
          <m:sSub>
            <m:e>
              <m:r>
                <m:t>c</m:t>
              </m:r>
            </m:e>
            <m:sub>
              <m:r>
                <m:t>u</m:t>
              </m:r>
              <m:r>
                <m:t>v</m:t>
              </m:r>
            </m:sub>
          </m:sSub>
          <m:r>
            <m:rPr>
              <m:sty m:val="p"/>
            </m:rPr>
            <m:t>,</m:t>
          </m:r>
          <m:r>
            <m:t> </m:t>
          </m:r>
          <m:r>
            <m:t>u</m:t>
          </m:r>
          <m:r>
            <m:rPr>
              <m:sty m:val="p"/>
            </m:rPr>
            <m:t>∈</m:t>
          </m:r>
          <m:sSup>
            <m:e>
              <m:r>
                <m:t>S</m:t>
              </m:r>
            </m:e>
            <m:sup>
              <m:r>
                <m:rPr>
                  <m:sty m:val="p"/>
                </m:rPr>
                <m:t>⋆</m:t>
              </m:r>
              <m:r>
                <m:rPr>
                  <m:sty m:val="p"/>
                </m:rPr>
                <m:t>⋆</m:t>
              </m:r>
            </m:sup>
          </m:sSup>
          <m:r>
            <m:rPr>
              <m:sty m:val="p"/>
            </m:rPr>
            <m:t>,</m:t>
          </m:r>
          <m:r>
            <m:t> </m:t>
          </m:r>
          <m:r>
            <m:t>v</m:t>
          </m:r>
          <m:r>
            <m:rPr>
              <m:sty m:val="p"/>
            </m:rPr>
            <m:t>∉</m:t>
          </m:r>
          <m:sSup>
            <m:e>
              <m:r>
                <m:t>S</m:t>
              </m:r>
            </m:e>
            <m:sup>
              <m:r>
                <m:rPr>
                  <m:sty m:val="p"/>
                </m:rPr>
                <m:t>⋆</m:t>
              </m:r>
            </m:sup>
          </m:sSup>
          <m:r>
            <m:rPr>
              <m:sty m:val="p"/>
            </m:rPr>
            <m:t>}</m:t>
          </m:r>
          <m:r>
            <m:rPr>
              <m:sty m:val="p"/>
            </m:rPr>
            <m:t>,</m:t>
          </m:r>
        </m:oMath>
      </m:oMathPara>
    </w:p>
    <w:p>
      <w:pPr>
        <w:pStyle w:val="FirstParagraph"/>
      </w:pPr>
      <w:r>
        <w:t xml:space="preserve">the set of edges appearing in at least one minimum cut, and</w:t>
      </w:r>
    </w:p>
    <w:p>
      <w:pPr>
        <w:pStyle w:val="BodyText"/>
      </w:pPr>
      <m:oMathPara>
        <m:oMathParaPr>
          <m:jc m:val="center"/>
        </m:oMathParaPr>
        <m:oMath>
          <m:sSub>
            <m:e>
              <m:r>
                <m:t>E</m:t>
              </m:r>
            </m:e>
            <m:sub>
              <m:r>
                <m:rPr>
                  <m:nor/>
                  <m:sty m:val="p"/>
                </m:rPr>
                <m:t>every</m:t>
              </m:r>
            </m:sub>
          </m:sSub>
          <m:r>
            <m:rPr>
              <m:sty m:val="p"/>
            </m:rPr>
            <m:t>=</m:t>
          </m:r>
          <m:r>
            <m:rPr>
              <m:sty m:val="p"/>
            </m:rPr>
            <m:t>{</m:t>
          </m:r>
          <m:r>
            <m:rPr>
              <m:sty m:val="p"/>
            </m:rPr>
            <m:t>(</m:t>
          </m:r>
          <m:r>
            <m:t>u</m:t>
          </m:r>
          <m:r>
            <m:rPr>
              <m:sty m:val="p"/>
            </m:rPr>
            <m:t>,</m:t>
          </m:r>
          <m:r>
            <m:t>v</m:t>
          </m:r>
          <m:r>
            <m:rPr>
              <m:sty m:val="p"/>
            </m:rPr>
            <m:t>)</m:t>
          </m:r>
          <m:r>
            <m:rPr>
              <m:sty m:val="p"/>
            </m:rPr>
            <m:t>∈</m:t>
          </m:r>
          <m:r>
            <m:t>E</m:t>
          </m:r>
          <m:r>
            <m:rPr>
              <m:sty m:val="p"/>
            </m:rPr>
            <m:t>:</m:t>
          </m:r>
          <m:sSubSup>
            <m:e>
              <m:r>
                <m:t>f</m:t>
              </m:r>
            </m:e>
            <m:sub>
              <m:r>
                <m:t>u</m:t>
              </m:r>
              <m:r>
                <m:t>v</m:t>
              </m:r>
            </m:sub>
            <m:sup>
              <m:r>
                <m:rPr>
                  <m:sty m:val="p"/>
                </m:rPr>
                <m:t>⋆</m:t>
              </m:r>
            </m:sup>
          </m:sSubSup>
          <m:r>
            <m:rPr>
              <m:sty m:val="p"/>
            </m:rPr>
            <m:t>=</m:t>
          </m:r>
          <m:sSub>
            <m:e>
              <m:r>
                <m:t>c</m:t>
              </m:r>
            </m:e>
            <m:sub>
              <m:r>
                <m:t>u</m:t>
              </m:r>
              <m:r>
                <m:t>v</m:t>
              </m:r>
            </m:sub>
          </m:sSub>
          <m:r>
            <m:rPr>
              <m:sty m:val="p"/>
            </m:rPr>
            <m:t>,</m:t>
          </m:r>
          <m:r>
            <m:t> </m:t>
          </m:r>
          <m:r>
            <m:t>u</m:t>
          </m:r>
          <m:r>
            <m:rPr>
              <m:sty m:val="p"/>
            </m:rPr>
            <m:t>∈</m:t>
          </m:r>
          <m:sSup>
            <m:e>
              <m:r>
                <m:t>S</m:t>
              </m:r>
            </m:e>
            <m:sup>
              <m:r>
                <m:rPr>
                  <m:sty m:val="p"/>
                </m:rPr>
                <m:t>⋆</m:t>
              </m:r>
            </m:sup>
          </m:sSup>
          <m:r>
            <m:rPr>
              <m:sty m:val="p"/>
            </m:rPr>
            <m:t>,</m:t>
          </m:r>
          <m:r>
            <m:t> </m:t>
          </m:r>
          <m:r>
            <m:t>v</m:t>
          </m:r>
          <m:r>
            <m:rPr>
              <m:sty m:val="p"/>
            </m:rPr>
            <m:t>∈</m:t>
          </m:r>
          <m:sSup>
            <m:e>
              <m:r>
                <m:t>T</m:t>
              </m:r>
            </m:e>
            <m:sup>
              <m:r>
                <m:rPr>
                  <m:sty m:val="p"/>
                </m:rPr>
                <m:t>⋆</m:t>
              </m:r>
              <m:r>
                <m:rPr>
                  <m:sty m:val="p"/>
                </m:rPr>
                <m:t>⋆</m:t>
              </m:r>
            </m:sup>
          </m:sSup>
          <m:r>
            <m:rPr>
              <m:sty m:val="p"/>
            </m:rPr>
            <m:t>}</m:t>
          </m:r>
          <m:r>
            <m:rPr>
              <m:sty m:val="p"/>
            </m:rPr>
            <m:t>,</m:t>
          </m:r>
        </m:oMath>
      </m:oMathPara>
    </w:p>
    <w:p>
      <w:pPr>
        <w:pStyle w:val="FirstParagraph"/>
      </w:pPr>
      <w:r>
        <w:t xml:space="preserve">where</w:t>
      </w:r>
      <w:r>
        <w:t xml:space="preserve"> </w:t>
      </w:r>
      <m:oMath>
        <m:sSup>
          <m:e>
            <m:r>
              <m:t>T</m:t>
            </m:r>
          </m:e>
          <m:sup>
            <m:r>
              <m:rPr>
                <m:sty m:val="p"/>
              </m:rPr>
              <m:t>⋆</m:t>
            </m:r>
            <m:r>
              <m:rPr>
                <m:sty m:val="p"/>
              </m:rPr>
              <m:t>⋆</m:t>
            </m:r>
          </m:sup>
        </m:sSup>
        <m:r>
          <m:rPr>
            <m:sty m:val="p"/>
          </m:rPr>
          <m:t>=</m:t>
        </m:r>
        <m:r>
          <m:t>V</m:t>
        </m:r>
        <m:r>
          <m:rPr>
            <m:sty m:val="p"/>
          </m:rPr>
          <m:t>\</m:t>
        </m:r>
        <m:sSup>
          <m:e>
            <m:r>
              <m:t>S</m:t>
            </m:r>
          </m:e>
          <m:sup>
            <m:r>
              <m:rPr>
                <m:sty m:val="p"/>
              </m:rPr>
              <m:t>⋆</m:t>
            </m:r>
            <m:r>
              <m:rPr>
                <m:sty m:val="p"/>
              </m:rPr>
              <m:t>⋆</m:t>
            </m:r>
          </m:sup>
        </m:sSup>
      </m:oMath>
      <w:r>
        <w:t xml:space="preserve">, the set of edges appearing in every minimum cut. By construction,</w:t>
      </w:r>
    </w:p>
    <w:p>
      <w:pPr>
        <w:pStyle w:val="BodyText"/>
      </w:pPr>
      <m:oMathPara>
        <m:oMathParaPr>
          <m:jc m:val="center"/>
        </m:oMathParaPr>
        <m:oMath>
          <m:sSub>
            <m:e>
              <m:r>
                <m:t>E</m:t>
              </m:r>
            </m:e>
            <m:sub>
              <m:r>
                <m:rPr>
                  <m:nor/>
                  <m:sty m:val="p"/>
                </m:rPr>
                <m:t>every</m:t>
              </m:r>
            </m:sub>
          </m:sSub>
          <m:r>
            <m:rPr>
              <m:sty m:val="p"/>
            </m:rPr>
            <m:t>⊆</m:t>
          </m:r>
          <m:sSub>
            <m:e>
              <m:r>
                <m:t>E</m:t>
              </m:r>
            </m:e>
            <m:sub>
              <m:r>
                <m:rPr>
                  <m:nor/>
                  <m:sty m:val="p"/>
                </m:rPr>
                <m:t>some</m:t>
              </m:r>
            </m:sub>
          </m:sSub>
          <m:r>
            <m:rPr>
              <m:sty m:val="p"/>
            </m:rPr>
            <m:t>.</m:t>
          </m:r>
        </m:oMath>
      </m:oMathPara>
    </w:p>
    <w:p>
      <w:pPr>
        <w:pStyle w:val="FirstParagraph"/>
      </w:pPr>
      <w:r>
        <w:t xml:space="preserve">These quantities allow the toolkit to distinguish between bottlenecks that are structurally rigid and bottlenecks that are distributed across several equivalent cut configurations.</w:t>
      </w:r>
    </w:p>
    <w:bookmarkStart w:id="45" w:name="minimum-cut-enumeration-1"/>
    <w:p>
      <w:pPr>
        <w:pStyle w:val="Heading3"/>
      </w:pPr>
      <w:r>
        <w:rPr>
          <w:rStyle w:val="SectionNumber"/>
        </w:rPr>
        <w:t xml:space="preserve">5.2.1</w:t>
      </w:r>
      <w:r>
        <w:tab/>
      </w:r>
      <w:r>
        <w:t xml:space="preserve">Minimum-Cut Enumeration</w:t>
      </w:r>
    </w:p>
    <w:p>
      <w:pPr>
        <w:pStyle w:val="FirstParagraph"/>
      </w:pPr>
      <w:r>
        <w:t xml:space="preserve">When the free zone is non-empty, the toolkit can enumerate valid minimum cuts by iterating over subsets</w:t>
      </w:r>
      <w:r>
        <w:t xml:space="preserve"> </w:t>
      </w:r>
      <m:oMath>
        <m:r>
          <m:t>R</m:t>
        </m:r>
        <m:r>
          <m:rPr>
            <m:sty m:val="p"/>
          </m:rPr>
          <m:t>⊆</m:t>
        </m:r>
        <m:r>
          <m:rPr>
            <m:scr m:val="script"/>
            <m:sty m:val="p"/>
          </m:rPr>
          <m:t>F</m:t>
        </m:r>
      </m:oMath>
      <w:r>
        <w:t xml:space="preserve">. Since each subset defines a distinct cut</w:t>
      </w:r>
      <w:r>
        <w:t xml:space="preserve"> </w:t>
      </w:r>
      <m:oMath>
        <m:sSup>
          <m:e>
            <m:r>
              <m:t>S</m:t>
            </m:r>
          </m:e>
          <m:sup>
            <m:r>
              <m:rPr>
                <m:sty m:val="p"/>
              </m:rPr>
              <m:t>⋆</m:t>
            </m:r>
          </m:sup>
        </m:sSup>
        <m:r>
          <m:rPr>
            <m:sty m:val="p"/>
          </m:rPr>
          <m:t>∪</m:t>
        </m:r>
        <m:r>
          <m:t>R</m:t>
        </m:r>
      </m:oMath>
      <w:r>
        <w:t xml:space="preserve">, enumeration is exact within the cut lattice. To prevent combinatorial explosion in highly symmetric networks, enumeration is bounded by a user-defined</w:t>
      </w:r>
      <w:r>
        <w:t xml:space="preserve"> </w:t>
      </w:r>
      <w:r>
        <w:rPr>
          <w:rStyle w:val="VerbatimChar"/>
        </w:rPr>
        <w:t xml:space="preserve">cut_limit</w:t>
      </w:r>
      <w:r>
        <w:t xml:space="preserve">. If the total number of cuts is below this limit, all are returned; otherwise, the module returns the first</w:t>
      </w:r>
      <w:r>
        <w:t xml:space="preserve"> </w:t>
      </w:r>
      <w:r>
        <w:rPr>
          <w:rStyle w:val="VerbatimChar"/>
        </w:rPr>
        <w:t xml:space="preserve">cut_limit</w:t>
      </w:r>
      <w:r>
        <w:t xml:space="preserve"> </w:t>
      </w:r>
      <w:r>
        <w:t xml:space="preserve">cuts together with a completion flag.</w:t>
      </w:r>
    </w:p>
    <w:bookmarkEnd w:id="45"/>
    <w:bookmarkEnd w:id="46"/>
    <w:bookmarkStart w:id="50" w:name="structural-diagnostics-1"/>
    <w:p>
      <w:pPr>
        <w:pStyle w:val="Heading2"/>
      </w:pPr>
      <w:r>
        <w:rPr>
          <w:rStyle w:val="SectionNumber"/>
        </w:rPr>
        <w:t xml:space="preserve">5.3</w:t>
      </w:r>
      <w:r>
        <w:tab/>
      </w:r>
      <w:r>
        <w:t xml:space="preserve">Structural Diagnostics</w:t>
      </w:r>
    </w:p>
    <w:p>
      <w:pPr>
        <w:pStyle w:val="BlockText"/>
      </w:pPr>
      <w:r>
        <w:rPr>
          <w:b/>
          <w:bCs/>
        </w:rPr>
        <w:t xml:space="preserve">Motivating question:</w:t>
      </w:r>
      <w:r>
        <w:t xml:space="preserve"> </w:t>
      </w:r>
      <w:r>
        <w:rPr>
          <w:i/>
          <w:iCs/>
        </w:rPr>
        <w:t xml:space="preserve">Where is the network structurally fragile, independent of current capacities?</w:t>
      </w:r>
    </w:p>
    <w:p>
      <w:pPr>
        <w:pStyle w:val="FirstParagraph"/>
      </w:pPr>
      <w:r>
        <w:t xml:space="preserve">Whereas the min-cut module is driven by the solved flow state, the structural module interrogates the topology of the DAG itself. Its purpose is to identify vulnerabilities that arise from graph structure rather than from the current numerical capacity assignment.</w:t>
      </w:r>
    </w:p>
    <w:bookmarkStart w:id="47" w:name="path-enumeration.-1"/>
    <w:p>
      <w:pPr>
        <w:pStyle w:val="Heading4"/>
      </w:pPr>
      <w:r>
        <w:rPr>
          <w:rStyle w:val="SectionNumber"/>
        </w:rPr>
        <w:t xml:space="preserve">5.3.0.1</w:t>
      </w:r>
      <w:r>
        <w:tab/>
      </w:r>
      <w:r>
        <w:t xml:space="preserve">Path enumeration.</w:t>
      </w:r>
    </w:p>
    <w:p>
      <w:pPr>
        <w:pStyle w:val="FirstParagraph"/>
      </w:pPr>
      <w:r>
        <w:t xml:space="preserve">Since the network is acyclic, exact source-to-sink path enumeration is finite. The toolkit therefore exposes a depth-first path enumerator based on the topological order inherited from the shared graph object. In highly redundant networks, the number of paths may still be exponential, so enumeration is bounded through a</w:t>
      </w:r>
      <w:r>
        <w:t xml:space="preserve"> </w:t>
      </w:r>
      <w:r>
        <w:rPr>
          <w:rStyle w:val="VerbatimChar"/>
        </w:rPr>
        <w:t xml:space="preserve">path_limit</w:t>
      </w:r>
      <w:r>
        <w:t xml:space="preserve"> </w:t>
      </w:r>
      <w:r>
        <w:t xml:space="preserve">parameter when required.</w:t>
      </w:r>
    </w:p>
    <w:bookmarkEnd w:id="47"/>
    <w:bookmarkStart w:id="48" w:name="flow-decomposition.-1"/>
    <w:p>
      <w:pPr>
        <w:pStyle w:val="Heading4"/>
      </w:pPr>
      <w:r>
        <w:rPr>
          <w:rStyle w:val="SectionNumber"/>
        </w:rPr>
        <w:t xml:space="preserve">5.3.0.2</w:t>
      </w:r>
      <w:r>
        <w:tab/>
      </w:r>
      <w:r>
        <w:t xml:space="preserve">Flow decomposition.</w:t>
      </w:r>
    </w:p>
    <w:p>
      <w:pPr>
        <w:pStyle w:val="FirstParagraph"/>
      </w:pPr>
      <w:r>
        <w:t xml:space="preserve">Once a baseline flow</w:t>
      </w:r>
      <w:r>
        <w:t xml:space="preserve"> </w:t>
      </w:r>
      <m:oMath>
        <m:sSup>
          <m:e>
            <m:r>
              <m:t>f</m:t>
            </m:r>
          </m:e>
          <m:sup>
            <m:r>
              <m:rPr>
                <m:sty m:val="p"/>
              </m:rPr>
              <m:t>⋆</m:t>
            </m:r>
          </m:sup>
        </m:sSup>
      </m:oMath>
      <w:r>
        <w:t xml:space="preserve"> </w:t>
      </w:r>
      <w:r>
        <w:t xml:space="preserve">has been computed, the toolkit can rank source-to-sink paths by their realised contribution to throughput. For each path</w:t>
      </w:r>
    </w:p>
    <w:p>
      <w:pPr>
        <w:pStyle w:val="BodyText"/>
      </w:pPr>
      <m:oMathPara>
        <m:oMathParaPr>
          <m:jc m:val="center"/>
        </m:oMathParaPr>
        <m:oMath>
          <m:r>
            <m:t>P</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r>
            <m:rPr>
              <m:sty m:val="p"/>
            </m:rPr>
            <m:t>,</m:t>
          </m:r>
        </m:oMath>
      </m:oMathPara>
    </w:p>
    <w:p>
      <w:pPr>
        <w:pStyle w:val="FirstParagraph"/>
      </w:pPr>
      <w:r>
        <w:t xml:space="preserve">the path contribution is defined by its bottleneck flow</w:t>
      </w:r>
    </w:p>
    <w:p>
      <w:pPr>
        <w:pStyle w:val="BodyText"/>
      </w:pPr>
      <m:oMathPara>
        <m:oMathParaPr>
          <m:jc m:val="center"/>
        </m:oMathParaPr>
        <m:oMath>
          <m:r>
            <m:t>ϕ</m:t>
          </m:r>
          <m:r>
            <m:rPr>
              <m:sty m:val="p"/>
            </m:rPr>
            <m:t>(</m:t>
          </m:r>
          <m:r>
            <m:t>P</m:t>
          </m:r>
          <m:r>
            <m:rPr>
              <m:sty m:val="p"/>
            </m:rPr>
            <m:t>)</m:t>
          </m:r>
          <m:r>
            <m:rPr>
              <m:sty m:val="p"/>
            </m:rPr>
            <m:t>=</m:t>
          </m:r>
          <m:limLow>
            <m:e>
              <m:r>
                <m:rPr>
                  <m:sty m:val="p"/>
                </m:rPr>
                <m:t>min</m:t>
              </m:r>
            </m:e>
            <m:lim>
              <m:r>
                <m:t>i</m:t>
              </m:r>
            </m:lim>
          </m:limLow>
          <m:sSubSup>
            <m:e>
              <m:r>
                <m:t>f</m:t>
              </m:r>
            </m:e>
            <m:sub>
              <m:sSub>
                <m:e>
                  <m:r>
                    <m:t>v</m:t>
                  </m:r>
                </m:e>
                <m:sub>
                  <m:r>
                    <m:t>i</m:t>
                  </m:r>
                </m:sub>
              </m:sSub>
              <m:sSub>
                <m:e>
                  <m:r>
                    <m:t>v</m:t>
                  </m:r>
                </m:e>
                <m:sub>
                  <m:r>
                    <m:t>i</m:t>
                  </m:r>
                  <m:r>
                    <m:rPr>
                      <m:sty m:val="p"/>
                    </m:rPr>
                    <m:t>+</m:t>
                  </m:r>
                  <m:r>
                    <m:t>1</m:t>
                  </m:r>
                </m:sub>
              </m:sSub>
            </m:sub>
            <m:sup>
              <m:r>
                <m:rPr>
                  <m:sty m:val="p"/>
                </m:rPr>
                <m:t>⋆</m:t>
              </m:r>
            </m:sup>
          </m:sSubSup>
          <m:r>
            <m:rPr>
              <m:sty m:val="p"/>
            </m:rPr>
            <m:t>.</m:t>
          </m:r>
        </m:oMath>
      </m:oMathPara>
    </w:p>
    <w:p>
      <w:pPr>
        <w:pStyle w:val="FirstParagraph"/>
      </w:pPr>
      <w:r>
        <w:t xml:space="preserve">Sorting paths in descending order of</w:t>
      </w:r>
      <w:r>
        <w:t xml:space="preserve"> </w:t>
      </w:r>
      <m:oMath>
        <m:r>
          <m:t>ϕ</m:t>
        </m:r>
        <m:r>
          <m:rPr>
            <m:sty m:val="p"/>
          </m:rPr>
          <m:t>(</m:t>
        </m:r>
        <m:r>
          <m:t>P</m:t>
        </m:r>
        <m:r>
          <m:rPr>
            <m:sty m:val="p"/>
          </m:rPr>
          <m:t>)</m:t>
        </m:r>
      </m:oMath>
      <w:r>
        <w:t xml:space="preserve"> </w:t>
      </w:r>
      <w:r>
        <w:t xml:space="preserve">provides a route-level decomposition of the solved flow, exposing how total throughput is distributed across structurally distinct paths.</w:t>
      </w:r>
    </w:p>
    <w:bookmarkEnd w:id="48"/>
    <w:bookmarkStart w:id="49" w:name="structural-single-points-of-failure.-1"/>
    <w:p>
      <w:pPr>
        <w:pStyle w:val="Heading4"/>
      </w:pPr>
      <w:r>
        <w:rPr>
          <w:rStyle w:val="SectionNumber"/>
        </w:rPr>
        <w:t xml:space="preserve">5.3.0.3</w:t>
      </w:r>
      <w:r>
        <w:tab/>
      </w:r>
      <w:r>
        <w:t xml:space="preserve">Structural single points of failure.</w:t>
      </w:r>
    </w:p>
    <w:p>
      <w:pPr>
        <w:pStyle w:val="FirstParagraph"/>
      </w:pPr>
      <w:r>
        <w:t xml:space="preserve">A node</w:t>
      </w:r>
      <w:r>
        <w:t xml:space="preserve"> </w:t>
      </w:r>
      <m:oMath>
        <m:r>
          <m:t>v</m:t>
        </m:r>
        <m:r>
          <m:rPr>
            <m:sty m:val="p"/>
          </m:rPr>
          <m:t>∈</m:t>
        </m:r>
        <m:r>
          <m:t>V</m:t>
        </m:r>
        <m:r>
          <m:rPr>
            <m:sty m:val="p"/>
          </m:rPr>
          <m:t>\</m:t>
        </m:r>
        <m:r>
          <m:rPr>
            <m:sty m:val="p"/>
          </m:rPr>
          <m:t>(</m:t>
        </m:r>
        <m:r>
          <m:t>S</m:t>
        </m:r>
        <m:r>
          <m:rPr>
            <m:sty m:val="p"/>
          </m:rPr>
          <m:t>∪</m:t>
        </m:r>
        <m:r>
          <m:t>T</m:t>
        </m:r>
        <m:r>
          <m:rPr>
            <m:sty m:val="p"/>
          </m:rPr>
          <m:t>)</m:t>
        </m:r>
      </m:oMath>
      <w:r>
        <w:t xml:space="preserve"> </w:t>
      </w:r>
      <w:r>
        <w:t xml:space="preserve">is defined as a structural single point of failure if removing</w:t>
      </w:r>
      <w:r>
        <w:t xml:space="preserve"> </w:t>
      </w:r>
      <m:oMath>
        <m:r>
          <m:t>v</m:t>
        </m:r>
      </m:oMath>
      <w:r>
        <w:t xml:space="preserve"> </w:t>
      </w:r>
      <w:r>
        <w:t xml:space="preserve">and all incident edges disconnects the source set from the sink set:</w:t>
      </w:r>
    </w:p>
    <w:p>
      <w:pPr>
        <w:pStyle w:val="BodyText"/>
      </w:pPr>
      <m:oMathPara>
        <m:oMathParaPr>
          <m:jc m:val="center"/>
        </m:oMathParaPr>
        <m:oMath>
          <m:sSup>
            <m:e>
              <m:r>
                <m:t>F</m:t>
              </m:r>
            </m:e>
            <m:sup>
              <m:r>
                <m:rPr>
                  <m:sty m:val="p"/>
                </m:rPr>
                <m:t>⋆</m:t>
              </m:r>
            </m:sup>
          </m:sSup>
          <m:r>
            <m:rPr>
              <m:sty m:val="p"/>
            </m:rPr>
            <m:t>(</m:t>
          </m:r>
          <m:r>
            <m:t>G</m:t>
          </m:r>
          <m:r>
            <m:rPr>
              <m:sty m:val="p"/>
            </m:rPr>
            <m:t>\</m:t>
          </m:r>
          <m:r>
            <m:rPr>
              <m:sty m:val="p"/>
            </m:rPr>
            <m:t>{</m:t>
          </m:r>
          <m:r>
            <m:t>v</m:t>
          </m:r>
          <m:r>
            <m:rPr>
              <m:sty m:val="p"/>
            </m:rPr>
            <m:t>}</m:t>
          </m:r>
          <m:r>
            <m:rPr>
              <m:sty m:val="p"/>
            </m:rPr>
            <m:t>)</m:t>
          </m:r>
          <m:r>
            <m:rPr>
              <m:sty m:val="p"/>
            </m:rPr>
            <m:t>=</m:t>
          </m:r>
          <m:r>
            <m:t>0</m:t>
          </m:r>
          <m:r>
            <m:rPr>
              <m:sty m:val="p"/>
            </m:rPr>
            <m:t>.</m:t>
          </m:r>
        </m:oMath>
      </m:oMathPara>
    </w:p>
    <w:p>
      <w:pPr>
        <w:pStyle w:val="FirstParagraph"/>
      </w:pPr>
      <w:r>
        <w:t xml:space="preserve">To reduce unnecessary work, the candidate set is restricted to nodes lying on at least one source-to-sink path,</w:t>
      </w:r>
    </w:p>
    <w:p>
      <w:pPr>
        <w:pStyle w:val="BodyText"/>
      </w:pPr>
      <m:oMathPara>
        <m:oMathParaPr>
          <m:jc m:val="center"/>
        </m:oMathParaPr>
        <m:oMath>
          <m:r>
            <m:rPr>
              <m:scr m:val="script"/>
              <m:sty m:val="p"/>
            </m:rPr>
            <m:t>C</m:t>
          </m:r>
          <m:r>
            <m:rPr>
              <m:sty m:val="p"/>
            </m:rPr>
            <m:t>=</m:t>
          </m:r>
          <m:d>
            <m:dPr>
              <m:begChr m:val="("/>
              <m:sepChr m:val=""/>
              <m:endChr m:val=")"/>
              <m:grow/>
            </m:dPr>
            <m:e>
              <m:r>
                <m:rPr>
                  <m:sty m:val="p"/>
                </m:rPr>
                <m:t>fwd</m:t>
              </m:r>
              <m:r>
                <m:rPr>
                  <m:sty m:val="p"/>
                </m:rPr>
                <m:t>(</m:t>
              </m:r>
              <m:r>
                <m:t>S</m:t>
              </m:r>
              <m:r>
                <m:rPr>
                  <m:sty m:val="p"/>
                </m:rPr>
                <m:t>)</m:t>
              </m:r>
              <m:r>
                <m:rPr>
                  <m:sty m:val="p"/>
                </m:rPr>
                <m:t>∩</m:t>
              </m:r>
              <m:r>
                <m:rPr>
                  <m:sty m:val="p"/>
                </m:rPr>
                <m:t>bwd</m:t>
              </m:r>
              <m:r>
                <m:rPr>
                  <m:sty m:val="p"/>
                </m:rPr>
                <m:t>(</m:t>
              </m:r>
              <m:r>
                <m:t>T</m:t>
              </m:r>
              <m:r>
                <m:rPr>
                  <m:sty m:val="p"/>
                </m:rPr>
                <m:t>)</m:t>
              </m:r>
            </m:e>
          </m:d>
          <m:r>
            <m:rPr>
              <m:sty m:val="p"/>
            </m:rPr>
            <m:t>\</m:t>
          </m:r>
          <m:r>
            <m:rPr>
              <m:sty m:val="p"/>
            </m:rPr>
            <m:t>(</m:t>
          </m:r>
          <m:r>
            <m:t>S</m:t>
          </m:r>
          <m:r>
            <m:rPr>
              <m:sty m:val="p"/>
            </m:rPr>
            <m:t>∪</m:t>
          </m:r>
          <m:r>
            <m:t>T</m:t>
          </m:r>
          <m:r>
            <m:rPr>
              <m:sty m:val="p"/>
            </m:rPr>
            <m:t>)</m:t>
          </m:r>
          <m:r>
            <m:rPr>
              <m:sty m:val="p"/>
            </m:rPr>
            <m:t>,</m:t>
          </m:r>
        </m:oMath>
      </m:oMathPara>
    </w:p>
    <w:p>
      <w:pPr>
        <w:pStyle w:val="FirstParagraph"/>
      </w:pPr>
      <w:r>
        <w:t xml:space="preserve">where</w:t>
      </w:r>
      <w:r>
        <w:t xml:space="preserve"> </w:t>
      </w:r>
      <m:oMath>
        <m:r>
          <m:rPr>
            <m:sty m:val="p"/>
          </m:rPr>
          <m:t>fwd</m:t>
        </m:r>
        <m:r>
          <m:rPr>
            <m:sty m:val="p"/>
          </m:rPr>
          <m:t>(</m:t>
        </m:r>
        <m:r>
          <m:t>S</m:t>
        </m:r>
        <m:r>
          <m:rPr>
            <m:sty m:val="p"/>
          </m:rPr>
          <m:t>)</m:t>
        </m:r>
      </m:oMath>
      <w:r>
        <w:t xml:space="preserve"> </w:t>
      </w:r>
      <w:r>
        <w:t xml:space="preserve">and</w:t>
      </w:r>
      <w:r>
        <w:t xml:space="preserve"> </w:t>
      </w:r>
      <m:oMath>
        <m:r>
          <m:rPr>
            <m:sty m:val="p"/>
          </m:rPr>
          <m:t>bwd</m:t>
        </m:r>
        <m:r>
          <m:rPr>
            <m:sty m:val="p"/>
          </m:rPr>
          <m:t>(</m:t>
        </m:r>
        <m:r>
          <m:t>T</m:t>
        </m:r>
        <m:r>
          <m:rPr>
            <m:sty m:val="p"/>
          </m:rPr>
          <m:t>)</m:t>
        </m:r>
      </m:oMath>
      <w:r>
        <w:t xml:space="preserve"> </w:t>
      </w:r>
      <w:r>
        <w:t xml:space="preserve">are the forward- and backward-reachable node sets, respectively. For each</w:t>
      </w:r>
      <w:r>
        <w:t xml:space="preserve"> </w:t>
      </w:r>
      <m:oMath>
        <m:r>
          <m:t>v</m:t>
        </m:r>
        <m:r>
          <m:rPr>
            <m:sty m:val="p"/>
          </m:rPr>
          <m:t>∈</m:t>
        </m:r>
        <m:r>
          <m:rPr>
            <m:scr m:val="script"/>
            <m:sty m:val="p"/>
          </m:rPr>
          <m:t>C</m:t>
        </m:r>
      </m:oMath>
      <w:r>
        <w:t xml:space="preserve">, a BFS is run on the graph with</w:t>
      </w:r>
      <w:r>
        <w:t xml:space="preserve"> </w:t>
      </w:r>
      <m:oMath>
        <m:r>
          <m:t>v</m:t>
        </m:r>
      </m:oMath>
      <w:r>
        <w:t xml:space="preserve"> </w:t>
      </w:r>
      <w:r>
        <w:t xml:space="preserve">removed. If no sink remains reachable from any source,</w:t>
      </w:r>
      <w:r>
        <w:t xml:space="preserve"> </w:t>
      </w:r>
      <m:oMath>
        <m:r>
          <m:t>v</m:t>
        </m:r>
      </m:oMath>
      <w:r>
        <w:t xml:space="preserve"> </w:t>
      </w:r>
      <w:r>
        <w:t xml:space="preserve">is recorded as a structural SPOF node.</w:t>
      </w:r>
    </w:p>
    <w:p>
      <w:pPr>
        <w:pStyle w:val="BodyText"/>
      </w:pPr>
      <w:r>
        <w:t xml:space="preserve">This distinction is important because a node may be flow-limiting without being structurally indispensable, and vice versa.</w:t>
      </w:r>
    </w:p>
    <w:bookmarkEnd w:id="49"/>
    <w:bookmarkEnd w:id="50"/>
    <w:bookmarkStart w:id="54" w:name="flow-sensitivity-module-1"/>
    <w:p>
      <w:pPr>
        <w:pStyle w:val="Heading2"/>
      </w:pPr>
      <w:r>
        <w:rPr>
          <w:rStyle w:val="SectionNumber"/>
        </w:rPr>
        <w:t xml:space="preserve">5.4</w:t>
      </w:r>
      <w:r>
        <w:tab/>
      </w:r>
      <w:r>
        <w:t xml:space="preserve">Flow Sensitivity Module</w:t>
      </w:r>
    </w:p>
    <w:p>
      <w:pPr>
        <w:pStyle w:val="BlockText"/>
      </w:pPr>
      <w:r>
        <w:rPr>
          <w:b/>
          <w:bCs/>
        </w:rPr>
        <w:t xml:space="preserve">Motivating question:</w:t>
      </w:r>
      <w:r>
        <w:t xml:space="preserve"> </w:t>
      </w:r>
      <w:r>
        <w:rPr>
          <w:i/>
          <w:iCs/>
        </w:rPr>
        <w:t xml:space="preserve">Which components most constrain deliverable throughput, and by how much?</w:t>
      </w:r>
    </w:p>
    <w:p>
      <w:pPr>
        <w:pStyle w:val="FirstParagraph"/>
      </w:pPr>
      <w:r>
        <w:t xml:space="preserve">At optimality, the edge set partitions into:</w:t>
      </w:r>
    </w:p>
    <w:p>
      <w:pPr>
        <w:numPr>
          <w:ilvl w:val="0"/>
          <w:numId w:val="1011"/>
        </w:numPr>
      </w:pPr>
      <w:r>
        <w:rPr>
          <w:i/>
          <w:iCs/>
        </w:rPr>
        <w:t xml:space="preserve">saturated edges</w:t>
      </w:r>
      <w:r>
        <w:t xml:space="preserve">, for which</w:t>
      </w:r>
      <w:r>
        <w:t xml:space="preserve"> </w:t>
      </w:r>
      <m:oMath>
        <m:sSubSup>
          <m:e>
            <m:r>
              <m:t>f</m:t>
            </m:r>
          </m:e>
          <m:sub>
            <m:r>
              <m:t>u</m:t>
            </m:r>
            <m:r>
              <m:t>v</m:t>
            </m:r>
          </m:sub>
          <m:sup>
            <m:r>
              <m:rPr>
                <m:sty m:val="p"/>
              </m:rPr>
              <m:t>⋆</m:t>
            </m:r>
          </m:sup>
        </m:sSubSup>
        <m:r>
          <m:rPr>
            <m:sty m:val="p"/>
          </m:rPr>
          <m:t>=</m:t>
        </m:r>
        <m:sSub>
          <m:e>
            <m:r>
              <m:t>c</m:t>
            </m:r>
          </m:e>
          <m:sub>
            <m:r>
              <m:t>u</m:t>
            </m:r>
            <m:r>
              <m:t>v</m:t>
            </m:r>
          </m:sub>
        </m:sSub>
      </m:oMath>
      <w:r>
        <w:t xml:space="preserve">,</w:t>
      </w:r>
    </w:p>
    <w:p>
      <w:pPr>
        <w:numPr>
          <w:ilvl w:val="0"/>
          <w:numId w:val="1011"/>
        </w:numPr>
      </w:pPr>
      <w:r>
        <w:rPr>
          <w:i/>
          <w:iCs/>
        </w:rPr>
        <w:t xml:space="preserve">unsaturated edges</w:t>
      </w:r>
      <w:r>
        <w:t xml:space="preserve">, for which</w:t>
      </w:r>
      <w:r>
        <w:t xml:space="preserve"> </w:t>
      </w:r>
      <m:oMath>
        <m:sSubSup>
          <m:e>
            <m:r>
              <m:t>f</m:t>
            </m:r>
          </m:e>
          <m:sub>
            <m:r>
              <m:t>u</m:t>
            </m:r>
            <m:r>
              <m:t>v</m:t>
            </m:r>
          </m:sub>
          <m:sup>
            <m:r>
              <m:rPr>
                <m:sty m:val="p"/>
              </m:rPr>
              <m:t>⋆</m:t>
            </m:r>
          </m:sup>
        </m:sSubSup>
        <m:r>
          <m:rPr>
            <m:sty m:val="p"/>
          </m:rPr>
          <m:t>&lt;</m:t>
        </m:r>
        <m:sSub>
          <m:e>
            <m:r>
              <m:t>c</m:t>
            </m:r>
          </m:e>
          <m:sub>
            <m:r>
              <m:t>u</m:t>
            </m:r>
            <m:r>
              <m:t>v</m:t>
            </m:r>
          </m:sub>
        </m:sSub>
      </m:oMath>
      <w:r>
        <w:t xml:space="preserve">.</w:t>
      </w:r>
    </w:p>
    <w:p>
      <w:pPr>
        <w:pStyle w:val="FirstParagraph"/>
      </w:pPr>
      <w:r>
        <w:t xml:space="preserve">Every minimum cut is made up only of saturated edges, so these define the primary candidate set for sensitivity analysis. The sensitivity module exposes three related functions.</w:t>
      </w:r>
    </w:p>
    <w:bookmarkStart w:id="51" w:name="critical-edge-ranking.-1"/>
    <w:p>
      <w:pPr>
        <w:pStyle w:val="Heading4"/>
      </w:pPr>
      <w:r>
        <w:rPr>
          <w:rStyle w:val="SectionNumber"/>
        </w:rPr>
        <w:t xml:space="preserve">5.4.0.1</w:t>
      </w:r>
      <w:r>
        <w:tab/>
      </w:r>
      <w:r>
        <w:t xml:space="preserve">Critical edge ranking.</w:t>
      </w:r>
    </w:p>
    <w:p>
      <w:pPr>
        <w:pStyle w:val="FirstParagraph"/>
      </w:pPr>
      <w:r>
        <w:t xml:space="preserve">For each candidate edge</w:t>
      </w:r>
      <w:r>
        <w:t xml:space="preserve"> </w:t>
      </w:r>
      <m:oMath>
        <m:r>
          <m:rPr>
            <m:sty m:val="p"/>
          </m:rPr>
          <m:t>(</m:t>
        </m:r>
        <m:r>
          <m:t>u</m:t>
        </m:r>
        <m:r>
          <m:rPr>
            <m:sty m:val="p"/>
          </m:rPr>
          <m:t>,</m:t>
        </m:r>
        <m:r>
          <m:t>v</m:t>
        </m:r>
        <m:r>
          <m:rPr>
            <m:sty m:val="p"/>
          </m:rPr>
          <m:t>)</m:t>
        </m:r>
      </m:oMath>
      <w:r>
        <w:t xml:space="preserve">, the throughput loss caused by its removal is</w:t>
      </w:r>
    </w:p>
    <w:p>
      <w:pPr>
        <w:pStyle w:val="BodyText"/>
      </w:pPr>
      <m:oMathPara>
        <m:oMathParaPr>
          <m:jc m:val="center"/>
        </m:oMathParaPr>
        <m:oMath>
          <m:sSubSup>
            <m:e>
              <m:r>
                <m:rPr>
                  <m:sty m:val="p"/>
                </m:rPr>
                <m:t>Δ</m:t>
              </m:r>
            </m:e>
            <m:sub>
              <m:r>
                <m:t>u</m:t>
              </m:r>
              <m:r>
                <m:t>v</m:t>
              </m:r>
            </m:sub>
            <m:sup>
              <m:r>
                <m:rPr>
                  <m:sty m:val="p"/>
                </m:rPr>
                <m:t>⋆</m:t>
              </m:r>
            </m:sup>
          </m:sSubSup>
          <m:r>
            <m:rPr>
              <m:sty m:val="p"/>
            </m:rPr>
            <m:t>=</m:t>
          </m:r>
          <m:sSup>
            <m:e>
              <m:r>
                <m:t>F</m:t>
              </m:r>
            </m:e>
            <m:sup>
              <m:r>
                <m:rPr>
                  <m:sty m:val="p"/>
                </m:rPr>
                <m:t>⋆</m:t>
              </m:r>
            </m:sup>
          </m:sSup>
          <m:r>
            <m:rPr>
              <m:sty m:val="p"/>
            </m:rPr>
            <m:t>(</m:t>
          </m:r>
          <m:r>
            <m:t>G</m:t>
          </m:r>
          <m:r>
            <m:rPr>
              <m:sty m:val="p"/>
            </m:rPr>
            <m:t>,</m:t>
          </m:r>
          <m:r>
            <m:t>c</m:t>
          </m:r>
          <m:r>
            <m:rPr>
              <m:sty m:val="p"/>
            </m:rPr>
            <m:t>)</m:t>
          </m:r>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t>u</m:t>
                  </m:r>
                  <m:r>
                    <m:t>v</m:t>
                  </m:r>
                  <m:r>
                    <m:rPr>
                      <m:sty m:val="p"/>
                    </m:rPr>
                    <m:t>)</m:t>
                  </m:r>
                </m:sup>
              </m:sSubSup>
            </m:e>
          </m:d>
          <m:r>
            <m:rPr>
              <m:sty m:val="p"/>
            </m:rPr>
            <m:t>,</m:t>
          </m:r>
        </m:oMath>
      </m:oMathPara>
    </w:p>
    <w:p>
      <w:pPr>
        <w:pStyle w:val="FirstParagraph"/>
      </w:pPr>
      <w:r>
        <w:t xml:space="preserve">where</w:t>
      </w:r>
      <w:r>
        <w:t xml:space="preserve"> </w:t>
      </w:r>
      <m:oMath>
        <m:sSubSup>
          <m:e>
            <m:r>
              <m:t>c</m:t>
            </m:r>
          </m:e>
          <m:sub>
            <m:r>
              <m:t>0</m:t>
            </m:r>
          </m:sub>
          <m:sup>
            <m:r>
              <m:rPr>
                <m:sty m:val="p"/>
              </m:rPr>
              <m:t>(</m:t>
            </m:r>
            <m:r>
              <m:t>u</m:t>
            </m:r>
            <m:r>
              <m:t>v</m:t>
            </m:r>
            <m:r>
              <m:rPr>
                <m:sty m:val="p"/>
              </m:rPr>
              <m:t>)</m:t>
            </m:r>
          </m:sup>
        </m:sSubSup>
      </m:oMath>
      <w:r>
        <w:t xml:space="preserve"> </w:t>
      </w:r>
      <w:r>
        <w:t xml:space="preserve">denotes the capacity assignment with</w:t>
      </w:r>
      <w:r>
        <w:t xml:space="preserve"> </w:t>
      </w:r>
      <m:oMath>
        <m:sSub>
          <m:e>
            <m:r>
              <m:t>c</m:t>
            </m:r>
          </m:e>
          <m:sub>
            <m:r>
              <m:t>u</m:t>
            </m:r>
            <m:r>
              <m:t>v</m:t>
            </m:r>
          </m:sub>
        </m:sSub>
        <m:r>
          <m:rPr>
            <m:sty m:val="p"/>
          </m:rPr>
          <m:t>=</m:t>
        </m:r>
        <m:r>
          <m:t>0</m:t>
        </m:r>
      </m:oMath>
      <w:r>
        <w:t xml:space="preserve"> </w:t>
      </w:r>
      <w:r>
        <w:t xml:space="preserve">and all other capacities unchanged. Ranking edges by</w:t>
      </w:r>
      <w:r>
        <w:t xml:space="preserve"> </w:t>
      </w:r>
      <m:oMath>
        <m:sSubSup>
          <m:e>
            <m:r>
              <m:rPr>
                <m:sty m:val="p"/>
              </m:rPr>
              <m:t>Δ</m:t>
            </m:r>
          </m:e>
          <m:sub>
            <m:r>
              <m:t>u</m:t>
            </m:r>
            <m:r>
              <m:t>v</m:t>
            </m:r>
          </m:sub>
          <m:sup>
            <m:r>
              <m:rPr>
                <m:sty m:val="p"/>
              </m:rPr>
              <m:t>⋆</m:t>
            </m:r>
          </m:sup>
        </m:sSubSup>
      </m:oMath>
      <w:r>
        <w:t xml:space="preserve"> </w:t>
      </w:r>
      <w:r>
        <w:t xml:space="preserve">identifies the most damaging single-edge failures.</w:t>
      </w:r>
    </w:p>
    <w:bookmarkEnd w:id="51"/>
    <w:bookmarkStart w:id="52" w:name="marginal-capacity-value.-1"/>
    <w:p>
      <w:pPr>
        <w:pStyle w:val="Heading4"/>
      </w:pPr>
      <w:r>
        <w:rPr>
          <w:rStyle w:val="SectionNumber"/>
        </w:rPr>
        <w:t xml:space="preserve">5.4.0.2</w:t>
      </w:r>
      <w:r>
        <w:tab/>
      </w:r>
      <w:r>
        <w:t xml:space="preserve">Marginal capacity value.</w:t>
      </w:r>
    </w:p>
    <w:p>
      <w:pPr>
        <w:pStyle w:val="FirstParagraph"/>
      </w:pPr>
      <w:r>
        <w:t xml:space="preserve">For a small capacity perturbation</w:t>
      </w:r>
      <w:r>
        <w:t xml:space="preserve"> </w:t>
      </w:r>
      <m:oMath>
        <m:r>
          <m:t>δ</m:t>
        </m:r>
        <m:r>
          <m:rPr>
            <m:sty m:val="p"/>
          </m:rPr>
          <m:t>&gt;</m:t>
        </m:r>
        <m:r>
          <m:t>0</m:t>
        </m:r>
      </m:oMath>
      <w:r>
        <w:t xml:space="preserve">, the local marginal value of edge</w:t>
      </w:r>
      <w:r>
        <w:t xml:space="preserve"> </w:t>
      </w:r>
      <m:oMath>
        <m:r>
          <m:rPr>
            <m:sty m:val="p"/>
          </m:rPr>
          <m:t>(</m:t>
        </m:r>
        <m:r>
          <m:t>u</m:t>
        </m:r>
        <m:r>
          <m:rPr>
            <m:sty m:val="p"/>
          </m:rPr>
          <m:t>,</m:t>
        </m:r>
        <m:r>
          <m:t>v</m:t>
        </m:r>
        <m:r>
          <m:rPr>
            <m:sty m:val="p"/>
          </m:rPr>
          <m:t>)</m:t>
        </m:r>
      </m:oMath>
      <w:r>
        <w:t xml:space="preserve"> </w:t>
      </w:r>
      <w:r>
        <w:t xml:space="preserve">is</w:t>
      </w:r>
    </w:p>
    <w:p>
      <w:pPr>
        <w:pStyle w:val="BodyText"/>
      </w:pPr>
      <m:oMathPara>
        <m:oMathParaPr>
          <m:jc m:val="center"/>
        </m:oMathParaPr>
        <m:oMath>
          <m:sSub>
            <m:e>
              <m:r>
                <m:t>μ</m:t>
              </m:r>
            </m:e>
            <m:sub>
              <m:r>
                <m:t>u</m:t>
              </m:r>
              <m:r>
                <m:t>v</m:t>
              </m:r>
            </m:sub>
          </m:sSub>
          <m:r>
            <m:rPr>
              <m:sty m:val="p"/>
            </m:rPr>
            <m:t>=</m:t>
          </m:r>
          <m:f>
            <m:fPr>
              <m:type m:val="bar"/>
            </m:fPr>
            <m:num>
              <m:sSup>
                <m:e>
                  <m:r>
                    <m:t>F</m:t>
                  </m:r>
                </m:e>
                <m:sup>
                  <m:r>
                    <m:rPr>
                      <m:sty m:val="p"/>
                    </m:rPr>
                    <m:t>⋆</m:t>
                  </m:r>
                </m:sup>
              </m:sSup>
              <m:r>
                <m:rPr>
                  <m:sty m:val="p"/>
                </m:rPr>
                <m:t>(</m:t>
              </m:r>
              <m:r>
                <m:t>G</m:t>
              </m:r>
              <m:r>
                <m:rPr>
                  <m:sty m:val="p"/>
                </m:rPr>
                <m:t>,</m:t>
              </m:r>
              <m:sSubSup>
                <m:e>
                  <m:r>
                    <m:t>c</m:t>
                  </m:r>
                </m:e>
                <m:sub>
                  <m:r>
                    <m:t>δ</m:t>
                  </m:r>
                </m:sub>
                <m:sup>
                  <m:r>
                    <m:rPr>
                      <m:sty m:val="p"/>
                    </m:rPr>
                    <m:t>(</m:t>
                  </m:r>
                  <m:r>
                    <m:t>u</m:t>
                  </m:r>
                  <m:r>
                    <m:t>v</m:t>
                  </m:r>
                  <m:r>
                    <m:rPr>
                      <m:sty m:val="p"/>
                    </m:rPr>
                    <m:t>)</m:t>
                  </m:r>
                </m:sup>
              </m:sSubSup>
              <m:r>
                <m:rPr>
                  <m:sty m:val="p"/>
                </m:rPr>
                <m:t>)</m:t>
              </m:r>
              <m:r>
                <m:rPr>
                  <m:sty m:val="p"/>
                </m:rPr>
                <m:t>−</m:t>
              </m:r>
              <m:sSup>
                <m:e>
                  <m:r>
                    <m:t>F</m:t>
                  </m:r>
                </m:e>
                <m:sup>
                  <m:r>
                    <m:rPr>
                      <m:sty m:val="p"/>
                    </m:rPr>
                    <m:t>⋆</m:t>
                  </m:r>
                </m:sup>
              </m:sSup>
              <m:r>
                <m:rPr>
                  <m:sty m:val="p"/>
                </m:rPr>
                <m:t>(</m:t>
              </m:r>
              <m:r>
                <m:t>G</m:t>
              </m:r>
              <m:r>
                <m:rPr>
                  <m:sty m:val="p"/>
                </m:rPr>
                <m:t>,</m:t>
              </m:r>
              <m:r>
                <m:t>c</m:t>
              </m:r>
              <m:r>
                <m:rPr>
                  <m:sty m:val="p"/>
                </m:rPr>
                <m:t>)</m:t>
              </m:r>
            </m:num>
            <m:den>
              <m:r>
                <m:t>δ</m:t>
              </m:r>
            </m:den>
          </m:f>
          <m:r>
            <m:rPr>
              <m:sty m:val="p"/>
            </m:rPr>
            <m:t>,</m:t>
          </m:r>
        </m:oMath>
      </m:oMathPara>
    </w:p>
    <w:p>
      <w:pPr>
        <w:pStyle w:val="FirstParagraph"/>
      </w:pPr>
      <w:r>
        <w:t xml:space="preserve">where</w:t>
      </w:r>
      <w:r>
        <w:t xml:space="preserve"> </w:t>
      </w:r>
      <m:oMath>
        <m:sSubSup>
          <m:e>
            <m:r>
              <m:t>c</m:t>
            </m:r>
          </m:e>
          <m:sub>
            <m:r>
              <m:t>δ</m:t>
            </m:r>
          </m:sub>
          <m:sup>
            <m:r>
              <m:rPr>
                <m:sty m:val="p"/>
              </m:rPr>
              <m:t>(</m:t>
            </m:r>
            <m:r>
              <m:t>u</m:t>
            </m:r>
            <m:r>
              <m:t>v</m:t>
            </m:r>
            <m:r>
              <m:rPr>
                <m:sty m:val="p"/>
              </m:rPr>
              <m:t>)</m:t>
            </m:r>
          </m:sup>
        </m:sSubSup>
      </m:oMath>
      <w:r>
        <w:t xml:space="preserve"> </w:t>
      </w:r>
      <w:r>
        <w:t xml:space="preserve">increases only</w:t>
      </w:r>
      <w:r>
        <w:t xml:space="preserve"> </w:t>
      </w:r>
      <m:oMath>
        <m:sSub>
          <m:e>
            <m:r>
              <m:t>c</m:t>
            </m:r>
          </m:e>
          <m:sub>
            <m:r>
              <m:t>u</m:t>
            </m:r>
            <m:r>
              <m:t>v</m:t>
            </m:r>
          </m:sub>
        </m:sSub>
      </m:oMath>
      <w:r>
        <w:t xml:space="preserve"> </w:t>
      </w:r>
      <w:r>
        <w:t xml:space="preserve">by</w:t>
      </w:r>
      <w:r>
        <w:t xml:space="preserve"> </w:t>
      </w:r>
      <m:oMath>
        <m:r>
          <m:t>δ</m:t>
        </m:r>
      </m:oMath>
      <w:r>
        <w:t xml:space="preserve">. This quantifies the immediate throughput gain from upgrading an edge.</w:t>
      </w:r>
    </w:p>
    <w:bookmarkEnd w:id="52"/>
    <w:bookmarkStart w:id="53" w:name="marginal-range.-1"/>
    <w:p>
      <w:pPr>
        <w:pStyle w:val="Heading4"/>
      </w:pPr>
      <w:r>
        <w:rPr>
          <w:rStyle w:val="SectionNumber"/>
        </w:rPr>
        <w:t xml:space="preserve">5.4.0.3</w:t>
      </w:r>
      <w:r>
        <w:tab/>
      </w:r>
      <w:r>
        <w:t xml:space="preserve">Marginal range.</w:t>
      </w:r>
    </w:p>
    <w:p>
      <w:pPr>
        <w:pStyle w:val="FirstParagraph"/>
      </w:pPr>
      <w:r>
        <w:t xml:space="preserve">The total throughput range associated with edge</w:t>
      </w:r>
      <w:r>
        <w:t xml:space="preserve"> </w:t>
      </w:r>
      <m:oMath>
        <m:r>
          <m:rPr>
            <m:sty m:val="p"/>
          </m:rPr>
          <m:t>(</m:t>
        </m:r>
        <m:r>
          <m:t>u</m:t>
        </m:r>
        <m:r>
          <m:rPr>
            <m:sty m:val="p"/>
          </m:rPr>
          <m:t>,</m:t>
        </m:r>
        <m:r>
          <m:t>v</m:t>
        </m:r>
        <m:r>
          <m:rPr>
            <m:sty m:val="p"/>
          </m:rPr>
          <m:t>)</m:t>
        </m:r>
      </m:oMath>
      <w:r>
        <w:t xml:space="preserve"> </w:t>
      </w:r>
      <w:r>
        <w:t xml:space="preserve">is</w:t>
      </w:r>
    </w:p>
    <w:p>
      <w:pPr>
        <w:pStyle w:val="BodyText"/>
      </w:pPr>
      <m:oMathPara>
        <m:oMathParaPr>
          <m:jc m:val="center"/>
        </m:oMathParaPr>
        <m:oMath>
          <m:sSub>
            <m:e>
              <m:r>
                <m:rPr>
                  <m:scr m:val="script"/>
                  <m:sty m:val="p"/>
                </m:rPr>
                <m:t>B</m:t>
              </m:r>
            </m:e>
            <m:sub>
              <m:r>
                <m:t>u</m:t>
              </m:r>
              <m:r>
                <m:t>v</m:t>
              </m:r>
            </m:sub>
          </m:sSub>
          <m:r>
            <m:rPr>
              <m:sty m:val="p"/>
            </m:rPr>
            <m:t>=</m:t>
          </m:r>
          <m:sSup>
            <m:e>
              <m:r>
                <m:t>F</m:t>
              </m:r>
            </m:e>
            <m:sup>
              <m:r>
                <m:rPr>
                  <m:sty m:val="p"/>
                </m:rPr>
                <m:t>⋆</m:t>
              </m:r>
            </m:sup>
          </m:sSup>
          <m:r>
            <m:t>​</m:t>
          </m:r>
          <m:d>
            <m:dPr>
              <m:begChr m:val="("/>
              <m:sepChr m:val=""/>
              <m:endChr m:val=")"/>
              <m:grow/>
            </m:dPr>
            <m:e>
              <m:r>
                <m:t>G</m:t>
              </m:r>
              <m:r>
                <m:rPr>
                  <m:sty m:val="p"/>
                </m:rPr>
                <m:t>,</m:t>
              </m:r>
              <m:sSubSup>
                <m:e>
                  <m:r>
                    <m:t>c</m:t>
                  </m:r>
                </m:e>
                <m:sub>
                  <m:r>
                    <m:rPr>
                      <m:sty m:val="p"/>
                    </m:rPr>
                    <m:t>∞</m:t>
                  </m:r>
                </m:sub>
                <m:sup>
                  <m:r>
                    <m:rPr>
                      <m:sty m:val="p"/>
                    </m:rPr>
                    <m:t>(</m:t>
                  </m:r>
                  <m:r>
                    <m:t>u</m:t>
                  </m:r>
                  <m:r>
                    <m:t>v</m:t>
                  </m:r>
                  <m:r>
                    <m:rPr>
                      <m:sty m:val="p"/>
                    </m:rPr>
                    <m:t>)</m:t>
                  </m:r>
                </m:sup>
              </m:sSubSup>
            </m:e>
          </m:d>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t>u</m:t>
                  </m:r>
                  <m:r>
                    <m:t>v</m:t>
                  </m:r>
                  <m:r>
                    <m:rPr>
                      <m:sty m:val="p"/>
                    </m:rPr>
                    <m:t>)</m:t>
                  </m:r>
                </m:sup>
              </m:sSubSup>
            </m:e>
          </m:d>
          <m:r>
            <m:rPr>
              <m:sty m:val="p"/>
            </m:rPr>
            <m:t>,</m:t>
          </m:r>
        </m:oMath>
      </m:oMathPara>
    </w:p>
    <w:p>
      <w:pPr>
        <w:pStyle w:val="FirstParagraph"/>
      </w:pPr>
      <w:r>
        <w:t xml:space="preserve">where</w:t>
      </w:r>
      <w:r>
        <w:t xml:space="preserve"> </w:t>
      </w:r>
      <m:oMath>
        <m:sSubSup>
          <m:e>
            <m:r>
              <m:t>c</m:t>
            </m:r>
          </m:e>
          <m:sub>
            <m:r>
              <m:rPr>
                <m:sty m:val="p"/>
              </m:rPr>
              <m:t>∞</m:t>
            </m:r>
          </m:sub>
          <m:sup>
            <m:r>
              <m:rPr>
                <m:sty m:val="p"/>
              </m:rPr>
              <m:t>(</m:t>
            </m:r>
            <m:r>
              <m:t>u</m:t>
            </m:r>
            <m:r>
              <m:t>v</m:t>
            </m:r>
            <m:r>
              <m:rPr>
                <m:sty m:val="p"/>
              </m:rPr>
              <m:t>)</m:t>
            </m:r>
          </m:sup>
        </m:sSubSup>
      </m:oMath>
      <w:r>
        <w:t xml:space="preserve"> </w:t>
      </w:r>
      <w:r>
        <w:t xml:space="preserve">sets</w:t>
      </w:r>
      <w:r>
        <w:t xml:space="preserve"> </w:t>
      </w:r>
      <m:oMath>
        <m:sSub>
          <m:e>
            <m:r>
              <m:t>c</m:t>
            </m:r>
          </m:e>
          <m:sub>
            <m:r>
              <m:t>u</m:t>
            </m:r>
            <m:r>
              <m:t>v</m:t>
            </m:r>
          </m:sub>
        </m:sSub>
      </m:oMath>
      <w:r>
        <w:t xml:space="preserve"> </w:t>
      </w:r>
      <w:r>
        <w:t xml:space="preserve">to a non-binding value. This measures the full extent to which the edge can influence throughput across its feasible capacity range.</w:t>
      </w:r>
    </w:p>
    <w:p>
      <w:pPr>
        <w:pStyle w:val="BodyText"/>
      </w:pPr>
      <w:r>
        <w:t xml:space="preserve">Together, these three quantities distinguish between edges that are fragile to lose, edges that are worth upgrading, and edges whose total possible influence is large even if their current local marginal value is small.</w:t>
      </w:r>
    </w:p>
    <w:bookmarkEnd w:id="53"/>
    <w:bookmarkEnd w:id="54"/>
    <w:bookmarkStart w:id="58" w:name="failure-impact-module-1"/>
    <w:p>
      <w:pPr>
        <w:pStyle w:val="Heading2"/>
      </w:pPr>
      <w:r>
        <w:rPr>
          <w:rStyle w:val="SectionNumber"/>
        </w:rPr>
        <w:t xml:space="preserve">5.5</w:t>
      </w:r>
      <w:r>
        <w:tab/>
      </w:r>
      <w:r>
        <w:t xml:space="preserve">Failure-Impact Module</w:t>
      </w:r>
    </w:p>
    <w:p>
      <w:pPr>
        <w:pStyle w:val="BlockText"/>
      </w:pPr>
      <w:r>
        <w:rPr>
          <w:b/>
          <w:bCs/>
        </w:rPr>
        <w:t xml:space="preserve">Motivating question:</w:t>
      </w:r>
      <w:r>
        <w:t xml:space="preserve"> </w:t>
      </w:r>
      <w:r>
        <w:rPr>
          <w:i/>
          <w:iCs/>
        </w:rPr>
        <w:t xml:space="preserve">How is deliverable throughput affected when components fail or degrade?</w:t>
      </w:r>
    </w:p>
    <w:p>
      <w:pPr>
        <w:pStyle w:val="FirstParagraph"/>
      </w:pPr>
      <w:r>
        <w:t xml:space="preserve">The failure-impact module extends the sensitivity analysis from local perturbations to explicit failure scenarios.</w:t>
      </w:r>
    </w:p>
    <w:bookmarkStart w:id="55" w:name="single-edge-failures.-1"/>
    <w:p>
      <w:pPr>
        <w:pStyle w:val="Heading4"/>
      </w:pPr>
      <w:r>
        <w:rPr>
          <w:rStyle w:val="SectionNumber"/>
        </w:rPr>
        <w:t xml:space="preserve">5.5.0.1</w:t>
      </w:r>
      <w:r>
        <w:tab/>
      </w:r>
      <w:r>
        <w:t xml:space="preserve">Single-edge failures.</w:t>
      </w:r>
    </w:p>
    <w:p>
      <w:pPr>
        <w:pStyle w:val="FirstParagraph"/>
      </w:pPr>
      <w:r>
        <w:t xml:space="preserve">For each candidate edge</w:t>
      </w:r>
      <w:r>
        <w:t xml:space="preserve"> </w:t>
      </w:r>
      <m:oMath>
        <m:r>
          <m:rPr>
            <m:sty m:val="p"/>
          </m:rPr>
          <m:t>(</m:t>
        </m:r>
        <m:r>
          <m:t>u</m:t>
        </m:r>
        <m:r>
          <m:rPr>
            <m:sty m:val="p"/>
          </m:rPr>
          <m:t>,</m:t>
        </m:r>
        <m:r>
          <m:t>v</m:t>
        </m:r>
        <m:r>
          <m:rPr>
            <m:sty m:val="p"/>
          </m:rPr>
          <m:t>)</m:t>
        </m:r>
      </m:oMath>
      <w:r>
        <w:t xml:space="preserve">, the throughput impact of complete failure is</w:t>
      </w:r>
    </w:p>
    <w:p>
      <w:pPr>
        <w:pStyle w:val="BodyText"/>
      </w:pPr>
      <m:oMathPara>
        <m:oMathParaPr>
          <m:jc m:val="center"/>
        </m:oMathParaPr>
        <m:oMath>
          <m:sSub>
            <m:e>
              <m:r>
                <m:rPr>
                  <m:sty m:val="p"/>
                </m:rPr>
                <m:t>Δ</m:t>
              </m:r>
            </m:e>
            <m:sub>
              <m:r>
                <m:t>u</m:t>
              </m:r>
              <m:r>
                <m:t>v</m:t>
              </m:r>
            </m:sub>
          </m:sSub>
          <m:r>
            <m:rPr>
              <m:sty m:val="p"/>
            </m:rPr>
            <m:t>=</m:t>
          </m:r>
          <m:sSup>
            <m:e>
              <m:r>
                <m:t>F</m:t>
              </m:r>
            </m:e>
            <m:sup>
              <m:r>
                <m:rPr>
                  <m:sty m:val="p"/>
                </m:rPr>
                <m:t>⋆</m:t>
              </m:r>
            </m:sup>
          </m:sSup>
          <m:r>
            <m:rPr>
              <m:sty m:val="p"/>
            </m:rPr>
            <m:t>(</m:t>
          </m:r>
          <m:r>
            <m:t>G</m:t>
          </m:r>
          <m:r>
            <m:rPr>
              <m:sty m:val="p"/>
            </m:rPr>
            <m:t>,</m:t>
          </m:r>
          <m:r>
            <m:t>c</m:t>
          </m:r>
          <m:r>
            <m:rPr>
              <m:sty m:val="p"/>
            </m:rPr>
            <m:t>)</m:t>
          </m:r>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t>u</m:t>
                  </m:r>
                  <m:r>
                    <m:t>v</m:t>
                  </m:r>
                  <m:r>
                    <m:rPr>
                      <m:sty m:val="p"/>
                    </m:rPr>
                    <m:t>)</m:t>
                  </m:r>
                </m:sup>
              </m:sSubSup>
            </m:e>
          </m:d>
          <m:r>
            <m:rPr>
              <m:sty m:val="p"/>
            </m:rPr>
            <m:t>.</m:t>
          </m:r>
        </m:oMath>
      </m:oMathPara>
    </w:p>
    <w:bookmarkEnd w:id="55"/>
    <w:bookmarkStart w:id="56" w:name="k-edge-failures.-1"/>
    <w:p>
      <w:pPr>
        <w:pStyle w:val="Heading4"/>
      </w:pPr>
      <w:r>
        <w:rPr>
          <w:rStyle w:val="SectionNumber"/>
        </w:rPr>
        <w:t xml:space="preserve">5.5.0.2</w:t>
      </w:r>
      <w:r>
        <w:tab/>
      </w:r>
      <m:oMath>
        <m:r>
          <m:t>k</m:t>
        </m:r>
      </m:oMath>
      <w:r>
        <w:t xml:space="preserve">-edge failures.</w:t>
      </w:r>
    </w:p>
    <w:p>
      <w:pPr>
        <w:pStyle w:val="FirstParagraph"/>
      </w:pPr>
      <w:r>
        <w:t xml:space="preserve">For a set of simultaneously failed edges</w:t>
      </w:r>
      <w:r>
        <w:t xml:space="preserve"> </w:t>
      </w:r>
      <m:oMath>
        <m:r>
          <m:rPr>
            <m:scr m:val="script"/>
            <m:sty m:val="p"/>
          </m:rPr>
          <m:t>K</m:t>
        </m:r>
        <m:r>
          <m:rPr>
            <m:sty m:val="p"/>
          </m:rPr>
          <m:t>⊆</m:t>
        </m:r>
        <m:sSub>
          <m:e>
            <m:r>
              <m:t>E</m:t>
            </m:r>
          </m:e>
          <m:sub>
            <m:r>
              <m:rPr>
                <m:nor/>
                <m:sty m:val="p"/>
              </m:rPr>
              <m:t>some</m:t>
            </m:r>
          </m:sub>
        </m:sSub>
      </m:oMath>
      <w:r>
        <w:t xml:space="preserve"> </w:t>
      </w:r>
      <w:r>
        <w:t xml:space="preserve">with</w:t>
      </w:r>
      <w:r>
        <w:t xml:space="preserve"> </w:t>
      </w:r>
      <m:oMath>
        <m:r>
          <m:rPr>
            <m:sty m:val="p"/>
          </m:rPr>
          <m:t>|</m:t>
        </m:r>
        <m:r>
          <m:rPr>
            <m:scr m:val="script"/>
            <m:sty m:val="p"/>
          </m:rPr>
          <m:t>K</m:t>
        </m:r>
        <m:r>
          <m:rPr>
            <m:sty m:val="p"/>
          </m:rPr>
          <m:t>|</m:t>
        </m:r>
        <m:r>
          <m:rPr>
            <m:sty m:val="p"/>
          </m:rPr>
          <m:t>=</m:t>
        </m:r>
        <m:r>
          <m:t>k</m:t>
        </m:r>
      </m:oMath>
      <w:r>
        <w:t xml:space="preserve">, the combined impact is</w:t>
      </w:r>
    </w:p>
    <w:p>
      <w:pPr>
        <w:pStyle w:val="BodyText"/>
      </w:pPr>
      <m:oMathPara>
        <m:oMathParaPr>
          <m:jc m:val="center"/>
        </m:oMathParaPr>
        <m:oMath>
          <m:sSub>
            <m:e>
              <m:r>
                <m:rPr>
                  <m:sty m:val="p"/>
                </m:rPr>
                <m:t>Δ</m:t>
              </m:r>
            </m:e>
            <m:sub>
              <m:r>
                <m:rPr>
                  <m:scr m:val="script"/>
                  <m:sty m:val="p"/>
                </m:rPr>
                <m:t>K</m:t>
              </m:r>
            </m:sub>
          </m:sSub>
          <m:r>
            <m:rPr>
              <m:sty m:val="p"/>
            </m:rPr>
            <m:t>=</m:t>
          </m:r>
          <m:sSup>
            <m:e>
              <m:r>
                <m:t>F</m:t>
              </m:r>
            </m:e>
            <m:sup>
              <m:r>
                <m:rPr>
                  <m:sty m:val="p"/>
                </m:rPr>
                <m:t>⋆</m:t>
              </m:r>
            </m:sup>
          </m:sSup>
          <m:r>
            <m:rPr>
              <m:sty m:val="p"/>
            </m:rPr>
            <m:t>(</m:t>
          </m:r>
          <m:r>
            <m:t>G</m:t>
          </m:r>
          <m:r>
            <m:rPr>
              <m:sty m:val="p"/>
            </m:rPr>
            <m:t>,</m:t>
          </m:r>
          <m:r>
            <m:t>c</m:t>
          </m:r>
          <m:r>
            <m:rPr>
              <m:sty m:val="p"/>
            </m:rPr>
            <m:t>)</m:t>
          </m:r>
          <m:r>
            <m:rPr>
              <m:sty m:val="p"/>
            </m:rPr>
            <m:t>−</m:t>
          </m:r>
          <m:sSup>
            <m:e>
              <m:r>
                <m:t>F</m:t>
              </m:r>
            </m:e>
            <m:sup>
              <m:r>
                <m:rPr>
                  <m:sty m:val="p"/>
                </m:rPr>
                <m:t>⋆</m:t>
              </m:r>
            </m:sup>
          </m:sSup>
          <m:r>
            <m:t>​</m:t>
          </m:r>
          <m:d>
            <m:dPr>
              <m:begChr m:val="("/>
              <m:sepChr m:val=""/>
              <m:endChr m:val=")"/>
              <m:grow/>
            </m:dPr>
            <m:e>
              <m:r>
                <m:t>G</m:t>
              </m:r>
              <m:r>
                <m:rPr>
                  <m:sty m:val="p"/>
                </m:rPr>
                <m:t>,</m:t>
              </m:r>
              <m:sSubSup>
                <m:e>
                  <m:r>
                    <m:t>c</m:t>
                  </m:r>
                </m:e>
                <m:sub>
                  <m:r>
                    <m:t>0</m:t>
                  </m:r>
                </m:sub>
                <m:sup>
                  <m:r>
                    <m:rPr>
                      <m:sty m:val="p"/>
                    </m:rPr>
                    <m:t>(</m:t>
                  </m:r>
                  <m:r>
                    <m:rPr>
                      <m:scr m:val="script"/>
                      <m:sty m:val="p"/>
                    </m:rPr>
                    <m:t>K</m:t>
                  </m:r>
                  <m:r>
                    <m:rPr>
                      <m:sty m:val="p"/>
                    </m:rPr>
                    <m:t>)</m:t>
                  </m:r>
                </m:sup>
              </m:sSubSup>
            </m:e>
          </m:d>
          <m:r>
            <m:rPr>
              <m:sty m:val="p"/>
            </m:rPr>
            <m:t>,</m:t>
          </m:r>
        </m:oMath>
      </m:oMathPara>
    </w:p>
    <w:p>
      <w:pPr>
        <w:pStyle w:val="FirstParagraph"/>
      </w:pPr>
      <w:r>
        <w:t xml:space="preserve">where all edges in</w:t>
      </w:r>
      <w:r>
        <w:t xml:space="preserve"> </w:t>
      </w:r>
      <m:oMath>
        <m:r>
          <m:rPr>
            <m:scr m:val="script"/>
            <m:sty m:val="p"/>
          </m:rPr>
          <m:t>K</m:t>
        </m:r>
      </m:oMath>
      <w:r>
        <w:t xml:space="preserve"> </w:t>
      </w:r>
      <w:r>
        <w:t xml:space="preserve">are set to zero capacity. Because the number of combinations grows rapidly with</w:t>
      </w:r>
      <w:r>
        <w:t xml:space="preserve"> </w:t>
      </w:r>
      <m:oMath>
        <m:r>
          <m:t>k</m:t>
        </m:r>
      </m:oMath>
      <w:r>
        <w:t xml:space="preserve">, this module is intended primarily for</w:t>
      </w:r>
      <w:r>
        <w:t xml:space="preserve"> </w:t>
      </w:r>
      <m:oMath>
        <m:r>
          <m:t>k</m:t>
        </m:r>
        <m:r>
          <m:rPr>
            <m:sty m:val="p"/>
          </m:rPr>
          <m:t>=</m:t>
        </m:r>
        <m:r>
          <m:t>2</m:t>
        </m:r>
      </m:oMath>
      <w:r>
        <w:t xml:space="preserve"> </w:t>
      </w:r>
      <w:r>
        <w:t xml:space="preserve">or</w:t>
      </w:r>
      <w:r>
        <w:t xml:space="preserve"> </w:t>
      </w:r>
      <m:oMath>
        <m:r>
          <m:t>k</m:t>
        </m:r>
        <m:r>
          <m:rPr>
            <m:sty m:val="p"/>
          </m:rPr>
          <m:t>=</m:t>
        </m:r>
        <m:r>
          <m:t>3</m:t>
        </m:r>
      </m:oMath>
      <w:r>
        <w:t xml:space="preserve">, with explicit limits imposed for tractability.</w:t>
      </w:r>
    </w:p>
    <w:bookmarkEnd w:id="56"/>
    <w:bookmarkStart w:id="57" w:name="capacity-degradation-scenarios.-1"/>
    <w:p>
      <w:pPr>
        <w:pStyle w:val="Heading4"/>
      </w:pPr>
      <w:r>
        <w:rPr>
          <w:rStyle w:val="SectionNumber"/>
        </w:rPr>
        <w:t xml:space="preserve">5.5.0.3</w:t>
      </w:r>
      <w:r>
        <w:tab/>
      </w:r>
      <w:r>
        <w:t xml:space="preserve">Capacity degradation scenarios.</w:t>
      </w:r>
    </w:p>
    <w:p>
      <w:pPr>
        <w:pStyle w:val="FirstParagraph"/>
      </w:pPr>
      <w:r>
        <w:t xml:space="preserve">Not all failures are binary. The module therefore also supports degraded-capacity analyses under either:</w:t>
      </w:r>
    </w:p>
    <w:p>
      <w:pPr>
        <w:numPr>
          <w:ilvl w:val="0"/>
          <w:numId w:val="1012"/>
        </w:numPr>
      </w:pPr>
      <w:r>
        <w:t xml:space="preserve">explicit edge-wise capacity overrides, or</w:t>
      </w:r>
    </w:p>
    <w:p>
      <w:pPr>
        <w:numPr>
          <w:ilvl w:val="0"/>
          <w:numId w:val="1012"/>
        </w:numPr>
      </w:pPr>
      <w:r>
        <w:t xml:space="preserve">a global scale factor</w:t>
      </w:r>
      <w:r>
        <w:t xml:space="preserve"> </w:t>
      </w:r>
      <m:oMath>
        <m:r>
          <m:t>α</m:t>
        </m:r>
        <m:r>
          <m:rPr>
            <m:sty m:val="p"/>
          </m:rPr>
          <m:t>∈</m:t>
        </m:r>
        <m:r>
          <m:rPr>
            <m:sty m:val="p"/>
          </m:rPr>
          <m:t>[</m:t>
        </m:r>
        <m:r>
          <m:t>0</m:t>
        </m:r>
        <m:r>
          <m:rPr>
            <m:sty m:val="p"/>
          </m:rPr>
          <m:t>,</m:t>
        </m:r>
        <m:r>
          <m:t>1</m:t>
        </m:r>
        <m:r>
          <m:rPr>
            <m:sty m:val="p"/>
          </m:rPr>
          <m:t>]</m:t>
        </m:r>
      </m:oMath>
      <w:r>
        <w:t xml:space="preserve"> </w:t>
      </w:r>
      <w:r>
        <w:t xml:space="preserve">applied to all finite capacities,</w:t>
      </w:r>
    </w:p>
    <w:p>
      <w:pPr>
        <w:pStyle w:val="BodyText"/>
      </w:pPr>
      <m:oMathPara>
        <m:oMathParaPr>
          <m:jc m:val="center"/>
        </m:oMathParaPr>
        <m:oMath>
          <m:sSubSup>
            <m:e>
              <m:r>
                <m:t>c</m:t>
              </m:r>
            </m:e>
            <m:sub>
              <m:r>
                <m:t>u</m:t>
              </m:r>
              <m:r>
                <m:t>v</m:t>
              </m:r>
            </m:sub>
            <m:sup>
              <m:r>
                <m:rPr>
                  <m:sty m:val="p"/>
                </m:rPr>
                <m:t>′</m:t>
              </m:r>
            </m:sup>
          </m:sSubSup>
          <m:r>
            <m:rPr>
              <m:sty m:val="p"/>
            </m:rPr>
            <m:t>=</m:t>
          </m:r>
          <m:r>
            <m:t>α</m:t>
          </m:r>
          <m:sSub>
            <m:e>
              <m:r>
                <m:t>c</m:t>
              </m:r>
            </m:e>
            <m:sub>
              <m:r>
                <m:t>u</m:t>
              </m:r>
              <m:r>
                <m:t>v</m:t>
              </m:r>
            </m:sub>
          </m:sSub>
          <m:r>
            <m:rPr>
              <m:sty m:val="p"/>
            </m:rPr>
            <m:t>.</m:t>
          </m:r>
        </m:oMath>
      </m:oMathPara>
    </w:p>
    <w:p>
      <w:pPr>
        <w:pStyle w:val="FirstParagraph"/>
      </w:pPr>
      <w:r>
        <w:t xml:space="preserve">This makes it possible to compare the network under multiple operating states without repeating the entire preprocessing pipeline.</w:t>
      </w:r>
    </w:p>
    <w:bookmarkEnd w:id="57"/>
    <w:bookmarkEnd w:id="58"/>
    <w:bookmarkStart w:id="61" w:name="parametric-threshold-module-1"/>
    <w:p>
      <w:pPr>
        <w:pStyle w:val="Heading2"/>
      </w:pPr>
      <w:r>
        <w:rPr>
          <w:rStyle w:val="SectionNumber"/>
        </w:rPr>
        <w:t xml:space="preserve">5.6</w:t>
      </w:r>
      <w:r>
        <w:tab/>
      </w:r>
      <w:r>
        <w:t xml:space="preserve">Parametric Threshold Module</w:t>
      </w:r>
    </w:p>
    <w:p>
      <w:pPr>
        <w:pStyle w:val="BlockText"/>
      </w:pPr>
      <w:r>
        <w:rPr>
          <w:b/>
          <w:bCs/>
        </w:rPr>
        <w:t xml:space="preserve">Motivating question:</w:t>
      </w:r>
      <w:r>
        <w:t xml:space="preserve"> </w:t>
      </w:r>
      <w:r>
        <w:rPr>
          <w:i/>
          <w:iCs/>
        </w:rPr>
        <w:t xml:space="preserve">How much capacity must be retained or added to satisfy a target service level?</w:t>
      </w:r>
    </w:p>
    <w:p>
      <w:pPr>
        <w:pStyle w:val="FirstParagraph"/>
      </w:pPr>
      <w:r>
        <w:t xml:space="preserve">The threshold module inverts the usual diagnostic viewpoint. Instead of asking how much flow results from a given capacity assignment, it asks what capacity level is required for the network to maintain or achieve a target throughput</w:t>
      </w:r>
      <w:r>
        <w:t xml:space="preserve"> </w:t>
      </w:r>
      <m:oMath>
        <m:sSub>
          <m:e>
            <m:r>
              <m:t>D</m:t>
            </m:r>
          </m:e>
          <m:sub>
            <m:r>
              <m:t>t</m:t>
            </m:r>
          </m:sub>
        </m:sSub>
      </m:oMath>
      <w:r>
        <w:t xml:space="preserve">.</w:t>
      </w:r>
    </w:p>
    <w:bookmarkStart w:id="59" w:name="degradation-threshold.-1"/>
    <w:p>
      <w:pPr>
        <w:pStyle w:val="Heading4"/>
      </w:pPr>
      <w:r>
        <w:rPr>
          <w:rStyle w:val="SectionNumber"/>
        </w:rPr>
        <w:t xml:space="preserve">5.6.0.1</w:t>
      </w:r>
      <w:r>
        <w:tab/>
      </w:r>
      <w:r>
        <w:t xml:space="preserve">Degradation threshold.</w:t>
      </w:r>
    </w:p>
    <w:p>
      <w:pPr>
        <w:pStyle w:val="FirstParagraph"/>
      </w:pPr>
      <w:r>
        <w:t xml:space="preserve">For edge</w:t>
      </w:r>
      <w:r>
        <w:t xml:space="preserve"> </w:t>
      </w:r>
      <m:oMath>
        <m:r>
          <m:rPr>
            <m:sty m:val="p"/>
          </m:rPr>
          <m:t>(</m:t>
        </m:r>
        <m:r>
          <m:t>u</m:t>
        </m:r>
        <m:r>
          <m:rPr>
            <m:sty m:val="p"/>
          </m:rPr>
          <m:t>,</m:t>
        </m:r>
        <m:r>
          <m:t>v</m:t>
        </m:r>
        <m:r>
          <m:rPr>
            <m:sty m:val="p"/>
          </m:rPr>
          <m:t>)</m:t>
        </m:r>
      </m:oMath>
      <w:r>
        <w:t xml:space="preserve">, the degradation threshold is</w:t>
      </w:r>
    </w:p>
    <w:p>
      <w:pPr>
        <w:pStyle w:val="BodyText"/>
      </w:pPr>
      <m:oMathPara>
        <m:oMathParaPr>
          <m:jc m:val="center"/>
        </m:oMathParaPr>
        <m:oMath>
          <m:sSubSup>
            <m:e>
              <m:r>
                <m:t>c</m:t>
              </m:r>
            </m:e>
            <m:sub>
              <m:r>
                <m:t>u</m:t>
              </m:r>
              <m:r>
                <m:t>v</m:t>
              </m:r>
            </m:sub>
            <m:sup>
              <m:r>
                <m:rPr>
                  <m:sty m:val="p"/>
                </m:rPr>
                <m:t>†</m:t>
              </m:r>
            </m:sup>
          </m:sSubSup>
          <m:r>
            <m:rPr>
              <m:sty m:val="p"/>
            </m:rPr>
            <m:t>=</m:t>
          </m:r>
          <m:r>
            <m:rPr>
              <m:sty m:val="p"/>
            </m:rPr>
            <m:t>inf</m:t>
          </m:r>
          <m:r>
            <m:rPr>
              <m:sty m:val="p"/>
            </m:rPr>
            <m:t>{</m:t>
          </m:r>
          <m:r>
            <m:t>c</m:t>
          </m:r>
          <m:r>
            <m:rPr>
              <m:sty m:val="p"/>
            </m:rPr>
            <m:t>∈</m:t>
          </m:r>
          <m:r>
            <m:rPr>
              <m:sty m:val="p"/>
            </m:rPr>
            <m:t>[</m:t>
          </m:r>
          <m:r>
            <m:t>0</m:t>
          </m:r>
          <m:r>
            <m:rPr>
              <m:sty m:val="p"/>
            </m:rPr>
            <m:t>,</m:t>
          </m:r>
          <m:sSub>
            <m:e>
              <m:r>
                <m:t>c</m:t>
              </m:r>
            </m:e>
            <m:sub>
              <m:r>
                <m:t>u</m:t>
              </m:r>
              <m:r>
                <m:t>v</m:t>
              </m:r>
            </m:sub>
          </m:sSub>
          <m:r>
            <m:rPr>
              <m:sty m:val="p"/>
            </m:rPr>
            <m:t>]</m:t>
          </m:r>
          <m:r>
            <m:rPr>
              <m:sty m:val="p"/>
            </m:rPr>
            <m:t>:</m:t>
          </m:r>
          <m:sSup>
            <m:e>
              <m:r>
                <m:t>F</m:t>
              </m:r>
            </m:e>
            <m:sup>
              <m:r>
                <m:rPr>
                  <m:sty m:val="p"/>
                </m:rPr>
                <m:t>⋆</m:t>
              </m:r>
            </m:sup>
          </m:sSup>
          <m:r>
            <m:rPr>
              <m:sty m:val="p"/>
            </m:rPr>
            <m:t>(</m:t>
          </m:r>
          <m:r>
            <m:t>G</m:t>
          </m:r>
          <m:r>
            <m:rPr>
              <m:sty m:val="p"/>
            </m:rPr>
            <m:t>,</m:t>
          </m:r>
          <m:sSubSup>
            <m:e>
              <m:r>
                <m:t>c</m:t>
              </m:r>
            </m:e>
            <m:sub>
              <m:r>
                <m:t>c</m:t>
              </m:r>
            </m:sub>
            <m:sup>
              <m:r>
                <m:rPr>
                  <m:sty m:val="p"/>
                </m:rPr>
                <m:t>(</m:t>
              </m:r>
              <m:r>
                <m:t>u</m:t>
              </m:r>
              <m:r>
                <m:t>v</m:t>
              </m:r>
              <m:r>
                <m:rPr>
                  <m:sty m:val="p"/>
                </m:rPr>
                <m:t>)</m:t>
              </m:r>
            </m:sup>
          </m:sSubSup>
          <m:r>
            <m:rPr>
              <m:sty m:val="p"/>
            </m:rPr>
            <m:t>)</m:t>
          </m:r>
          <m:r>
            <m:rPr>
              <m:sty m:val="p"/>
            </m:rPr>
            <m:t>≥</m:t>
          </m:r>
          <m:sSub>
            <m:e>
              <m:r>
                <m:t>D</m:t>
              </m:r>
            </m:e>
            <m:sub>
              <m:r>
                <m:t>t</m:t>
              </m:r>
            </m:sub>
          </m:sSub>
          <m:r>
            <m:rPr>
              <m:sty m:val="p"/>
            </m:rPr>
            <m:t>}</m:t>
          </m:r>
          <m:r>
            <m:rPr>
              <m:sty m:val="p"/>
            </m:rPr>
            <m:t>,</m:t>
          </m:r>
        </m:oMath>
      </m:oMathPara>
    </w:p>
    <w:p>
      <w:pPr>
        <w:pStyle w:val="FirstParagraph"/>
      </w:pPr>
      <w:r>
        <w:t xml:space="preserve">where</w:t>
      </w:r>
      <w:r>
        <w:t xml:space="preserve"> </w:t>
      </w:r>
      <m:oMath>
        <m:sSubSup>
          <m:e>
            <m:r>
              <m:t>c</m:t>
            </m:r>
          </m:e>
          <m:sub>
            <m:r>
              <m:t>c</m:t>
            </m:r>
          </m:sub>
          <m:sup>
            <m:r>
              <m:rPr>
                <m:sty m:val="p"/>
              </m:rPr>
              <m:t>(</m:t>
            </m:r>
            <m:r>
              <m:t>u</m:t>
            </m:r>
            <m:r>
              <m:t>v</m:t>
            </m:r>
            <m:r>
              <m:rPr>
                <m:sty m:val="p"/>
              </m:rPr>
              <m:t>)</m:t>
            </m:r>
          </m:sup>
        </m:sSubSup>
      </m:oMath>
      <w:r>
        <w:t xml:space="preserve"> </w:t>
      </w:r>
      <w:r>
        <w:t xml:space="preserve">replaces</w:t>
      </w:r>
      <w:r>
        <w:t xml:space="preserve"> </w:t>
      </w:r>
      <m:oMath>
        <m:sSub>
          <m:e>
            <m:r>
              <m:t>c</m:t>
            </m:r>
          </m:e>
          <m:sub>
            <m:r>
              <m:t>u</m:t>
            </m:r>
            <m:r>
              <m:t>v</m:t>
            </m:r>
          </m:sub>
        </m:sSub>
      </m:oMath>
      <w:r>
        <w:t xml:space="preserve"> </w:t>
      </w:r>
      <w:r>
        <w:t xml:space="preserve">by</w:t>
      </w:r>
      <w:r>
        <w:t xml:space="preserve"> </w:t>
      </w:r>
      <m:oMath>
        <m:r>
          <m:t>c</m:t>
        </m:r>
      </m:oMath>
      <w:r>
        <w:t xml:space="preserve">. The degradation margin</w:t>
      </w:r>
    </w:p>
    <w:p>
      <w:pPr>
        <w:pStyle w:val="BodyText"/>
      </w:pPr>
      <m:oMathPara>
        <m:oMathParaPr>
          <m:jc m:val="center"/>
        </m:oMathParaPr>
        <m:oMath>
          <m:sSub>
            <m:e>
              <m:r>
                <m:t>c</m:t>
              </m:r>
            </m:e>
            <m:sub>
              <m:r>
                <m:t>u</m:t>
              </m:r>
              <m:r>
                <m:t>v</m:t>
              </m:r>
            </m:sub>
          </m:sSub>
          <m:r>
            <m:rPr>
              <m:sty m:val="p"/>
            </m:rPr>
            <m:t>−</m:t>
          </m:r>
          <m:sSubSup>
            <m:e>
              <m:r>
                <m:t>c</m:t>
              </m:r>
            </m:e>
            <m:sub>
              <m:r>
                <m:t>u</m:t>
              </m:r>
              <m:r>
                <m:t>v</m:t>
              </m:r>
            </m:sub>
            <m:sup>
              <m:r>
                <m:rPr>
                  <m:sty m:val="p"/>
                </m:rPr>
                <m:t>†</m:t>
              </m:r>
            </m:sup>
          </m:sSubSup>
        </m:oMath>
      </m:oMathPara>
    </w:p>
    <w:p>
      <w:pPr>
        <w:pStyle w:val="FirstParagraph"/>
      </w:pPr>
      <w:r>
        <w:t xml:space="preserve">measures how much capacity loss can be tolerated before the target is breached.</w:t>
      </w:r>
    </w:p>
    <w:bookmarkEnd w:id="59"/>
    <w:bookmarkStart w:id="60" w:name="upgrade-threshold.-1"/>
    <w:p>
      <w:pPr>
        <w:pStyle w:val="Heading4"/>
      </w:pPr>
      <w:r>
        <w:rPr>
          <w:rStyle w:val="SectionNumber"/>
        </w:rPr>
        <w:t xml:space="preserve">5.6.0.2</w:t>
      </w:r>
      <w:r>
        <w:tab/>
      </w:r>
      <w:r>
        <w:t xml:space="preserve">Upgrade threshold.</w:t>
      </w:r>
    </w:p>
    <w:p>
      <w:pPr>
        <w:pStyle w:val="FirstParagraph"/>
      </w:pPr>
      <w:r>
        <w:t xml:space="preserve">If the current throughput is below the target, the upgrade threshold is the minimum capacity value required on</w:t>
      </w:r>
      <w:r>
        <w:t xml:space="preserve"> </w:t>
      </w:r>
      <m:oMath>
        <m:r>
          <m:rPr>
            <m:sty m:val="p"/>
          </m:rPr>
          <m:t>(</m:t>
        </m:r>
        <m:r>
          <m:t>u</m:t>
        </m:r>
        <m:r>
          <m:rPr>
            <m:sty m:val="p"/>
          </m:rPr>
          <m:t>,</m:t>
        </m:r>
        <m:r>
          <m:t>v</m:t>
        </m:r>
        <m:r>
          <m:rPr>
            <m:sty m:val="p"/>
          </m:rPr>
          <m:t>)</m:t>
        </m:r>
      </m:oMath>
      <w:r>
        <w:t xml:space="preserve"> </w:t>
      </w:r>
      <w:r>
        <w:t xml:space="preserve">for the network to first achieve</w:t>
      </w:r>
      <w:r>
        <w:t xml:space="preserve"> </w:t>
      </w:r>
      <m:oMath>
        <m:sSub>
          <m:e>
            <m:r>
              <m:t>D</m:t>
            </m:r>
          </m:e>
          <m:sub>
            <m:r>
              <m:t>t</m:t>
            </m:r>
          </m:sub>
        </m:sSub>
      </m:oMath>
      <w:r>
        <w:t xml:space="preserve">. Since the required capacity may exceed the current capacity, the implementation first brackets the threshold by doubling the candidate capacity and then refines the result recursively.</w:t>
      </w:r>
    </w:p>
    <w:p>
      <w:pPr>
        <w:pStyle w:val="BodyText"/>
      </w:pPr>
      <w:r>
        <w:t xml:space="preserve">If increasing</w:t>
      </w:r>
      <w:r>
        <w:t xml:space="preserve"> </w:t>
      </w:r>
      <m:oMath>
        <m:sSub>
          <m:e>
            <m:r>
              <m:t>c</m:t>
            </m:r>
          </m:e>
          <m:sub>
            <m:r>
              <m:t>u</m:t>
            </m:r>
            <m:r>
              <m:t>v</m:t>
            </m:r>
          </m:sub>
        </m:sSub>
      </m:oMath>
      <w:r>
        <w:t xml:space="preserve"> </w:t>
      </w:r>
      <w:r>
        <w:t xml:space="preserve">cannot increase throughput because the active bottleneck lies elsewhere, the module returns an</w:t>
      </w:r>
      <w:r>
        <w:t xml:space="preserve"> </w:t>
      </w:r>
      <w:r>
        <w:rPr>
          <w:rStyle w:val="VerbatimChar"/>
        </w:rPr>
        <w:t xml:space="preserve">upgrade_ineffective</w:t>
      </w:r>
      <w:r>
        <w:t xml:space="preserve"> </w:t>
      </w:r>
      <w:r>
        <w:t xml:space="preserve">flag.</w:t>
      </w:r>
    </w:p>
    <w:p>
      <w:pPr>
        <w:pStyle w:val="BodyText"/>
      </w:pPr>
      <w:r>
        <w:t xml:space="preserve">This module is especially useful for design studies, because it transforms baseline flow solutions into actionable service-margin information.</w:t>
      </w:r>
    </w:p>
    <w:bookmarkEnd w:id="60"/>
    <w:bookmarkEnd w:id="61"/>
    <w:bookmarkStart w:id="62" w:name="node-capacitated-diagnostics-1"/>
    <w:p>
      <w:pPr>
        <w:pStyle w:val="Heading2"/>
      </w:pPr>
      <w:r>
        <w:rPr>
          <w:rStyle w:val="SectionNumber"/>
        </w:rPr>
        <w:t xml:space="preserve">5.7</w:t>
      </w:r>
      <w:r>
        <w:tab/>
      </w:r>
      <w:r>
        <w:t xml:space="preserve">Node-Capacitated Diagnostics</w:t>
      </w:r>
    </w:p>
    <w:p>
      <w:pPr>
        <w:pStyle w:val="FirstParagraph"/>
      </w:pPr>
      <w:r>
        <w:t xml:space="preserve">When node capacities are present, the toolkit applies node splitting internally and then computes all diagnostics on the transformed network. Public results are then remapped to the original node set.</w:t>
      </w:r>
    </w:p>
    <w:p>
      <w:pPr>
        <w:pStyle w:val="BodyText"/>
      </w:pPr>
      <w:r>
        <w:t xml:space="preserve">This allows the same diagnostic modules to answer questions such as:</w:t>
      </w:r>
    </w:p>
    <w:p>
      <w:pPr>
        <w:numPr>
          <w:ilvl w:val="0"/>
          <w:numId w:val="1013"/>
        </w:numPr>
      </w:pPr>
      <w:r>
        <w:t xml:space="preserve">which nodes saturate under the node-capacitated solution,</w:t>
      </w:r>
    </w:p>
    <w:p>
      <w:pPr>
        <w:numPr>
          <w:ilvl w:val="0"/>
          <w:numId w:val="1013"/>
        </w:numPr>
      </w:pPr>
      <w:r>
        <w:t xml:space="preserve">how much throughput is lost relative to the edge-only case,</w:t>
      </w:r>
    </w:p>
    <w:p>
      <w:pPr>
        <w:numPr>
          <w:ilvl w:val="0"/>
          <w:numId w:val="1013"/>
        </w:numPr>
      </w:pPr>
      <w:r>
        <w:t xml:space="preserve">which node-capacity upgrades would restore a target demand level.</w:t>
      </w:r>
    </w:p>
    <w:p>
      <w:pPr>
        <w:pStyle w:val="FirstParagraph"/>
      </w:pPr>
      <w:r>
        <w:t xml:space="preserve">Thus, the flow-diagnostic layer is compatible with both edge-capacitated and node-capacitated DAG models.</w:t>
      </w:r>
    </w:p>
    <w:bookmarkEnd w:id="62"/>
    <w:bookmarkStart w:id="63" w:name="implementation-principle-1"/>
    <w:p>
      <w:pPr>
        <w:pStyle w:val="Heading2"/>
      </w:pPr>
      <w:r>
        <w:rPr>
          <w:rStyle w:val="SectionNumber"/>
        </w:rPr>
        <w:t xml:space="preserve">5.8</w:t>
      </w:r>
      <w:r>
        <w:tab/>
      </w:r>
      <w:r>
        <w:t xml:space="preserve">Implementation Principle</w:t>
      </w:r>
    </w:p>
    <w:p>
      <w:pPr>
        <w:pStyle w:val="FirstParagraph"/>
      </w:pPr>
      <w:r>
        <w:t xml:space="preserve">The core implementation principle across all modules is reuse. The shared graph object, terminal reduction, node splitting, baseline flow solve, residual graph, and cut structure are computed once and then reused by the downstream analyses wherever possible.</w:t>
      </w:r>
    </w:p>
    <w:p>
      <w:pPr>
        <w:pStyle w:val="BodyText"/>
      </w:pPr>
      <w:r>
        <w:t xml:space="preserve">This reduces repeated computation, keeps the outputs consistent across modules, and makes it possible to compare multiple diagnostics on the same underlying network state. The next section discusses the exactness, validation procedures, and scope boundaries of the toolkit.</w:t>
      </w:r>
    </w:p>
    <w:bookmarkEnd w:id="63"/>
    <w:bookmarkEnd w:id="64"/>
    <w:bookmarkStart w:id="83" w:name="case-study-synthetic-benchmark-network"/>
    <w:p>
      <w:pPr>
        <w:pStyle w:val="Heading1"/>
      </w:pPr>
      <w:r>
        <w:rPr>
          <w:rStyle w:val="SectionNumber"/>
        </w:rPr>
        <w:t xml:space="preserve">6</w:t>
      </w:r>
      <w:r>
        <w:tab/>
      </w:r>
      <w:r>
        <w:t xml:space="preserve">Case Study: Synthetic Benchmark Network</w:t>
      </w:r>
    </w:p>
    <w:p>
      <w:pPr>
        <w:pStyle w:val="FirstParagraph"/>
      </w:pPr>
      <w:r>
        <w:t xml:space="preserve">This section demonstrates the toolkit on a synthetic benchmark designed to expose differences between throughput, bottleneck structure, structural fragility, and upgrade effectiveness. The purpose of the case study is not to maximise flow in a single network, but to show how the implemented modules distinguish between network configurations that appear similar under a baseline max-flow solve.</w:t>
      </w:r>
    </w:p>
    <w:bookmarkStart w:id="68" w:name="benchmark-design"/>
    <w:p>
      <w:pPr>
        <w:pStyle w:val="Heading2"/>
      </w:pPr>
      <w:r>
        <w:rPr>
          <w:rStyle w:val="SectionNumber"/>
        </w:rPr>
        <w:t xml:space="preserve">6.1</w:t>
      </w:r>
      <w:r>
        <w:tab/>
      </w:r>
      <w:r>
        <w:t xml:space="preserve">Benchmark design</w:t>
      </w:r>
    </w:p>
    <w:p>
      <w:pPr>
        <w:pStyle w:val="FirstParagraph"/>
      </w:pPr>
      <w:r>
        <w:t xml:space="preserve">The benchmark is a multi-source, multi-sink capacitated DAG with 43 nodes, 107 directed edges, and an 8-layer hierarchical structure. It represents a stylised distribution system in which resources propagate from multiple origins through hubs, processing corridors, bypass routes, gateways, and a final combiner before reaching several demand nodes.</w:t>
      </w:r>
    </w:p>
    <w:p>
      <w:pPr>
        <w:pStyle w:val="BodyText"/>
      </w:pPr>
      <w:r>
        <w:t xml:space="preserve">The network contains the following node classes:</w:t>
      </w:r>
    </w:p>
    <w:p>
      <w:pPr>
        <w:numPr>
          <w:ilvl w:val="0"/>
          <w:numId w:val="1014"/>
        </w:numPr>
      </w:pPr>
      <w:r>
        <w:rPr>
          <w:b/>
          <w:bCs/>
        </w:rPr>
        <w:t xml:space="preserve">Origin nodes</w:t>
      </w:r>
      <w:r>
        <w:t xml:space="preserve"> </w:t>
      </w:r>
      <w:r>
        <w:t xml:space="preserve">(blue): five source nodes, intentionally over-provisioned so that the source region does not form the active bottleneck;</w:t>
      </w:r>
    </w:p>
    <w:p>
      <w:pPr>
        <w:numPr>
          <w:ilvl w:val="0"/>
          <w:numId w:val="1014"/>
        </w:numPr>
      </w:pPr>
      <w:r>
        <w:rPr>
          <w:b/>
          <w:bCs/>
        </w:rPr>
        <w:t xml:space="preserve">Hub nodes</w:t>
      </w:r>
      <w:r>
        <w:t xml:space="preserve"> </w:t>
      </w:r>
      <w:r>
        <w:t xml:space="preserve">(green): intermediate relay nodes with relatively high fan-out;</w:t>
      </w:r>
    </w:p>
    <w:p>
      <w:pPr>
        <w:numPr>
          <w:ilvl w:val="0"/>
          <w:numId w:val="1014"/>
        </w:numPr>
      </w:pPr>
      <w:r>
        <w:rPr>
          <w:b/>
          <w:bCs/>
        </w:rPr>
        <w:t xml:space="preserve">Processing nodes</w:t>
      </w:r>
      <w:r>
        <w:t xml:space="preserve"> </w:t>
      </w:r>
      <w:r>
        <w:t xml:space="preserve">(red) and</w:t>
      </w:r>
      <w:r>
        <w:t xml:space="preserve"> </w:t>
      </w:r>
      <w:r>
        <w:rPr>
          <w:b/>
          <w:bCs/>
        </w:rPr>
        <w:t xml:space="preserve">bypass nodes</w:t>
      </w:r>
      <w:r>
        <w:t xml:space="preserve"> </w:t>
      </w:r>
      <w:r>
        <w:t xml:space="preserve">(orange): node-capacitated internal components that create alternative transport corridors;</w:t>
      </w:r>
    </w:p>
    <w:p>
      <w:pPr>
        <w:numPr>
          <w:ilvl w:val="0"/>
          <w:numId w:val="1014"/>
        </w:numPr>
      </w:pPr>
      <w:r>
        <w:rPr>
          <w:b/>
          <w:bCs/>
        </w:rPr>
        <w:t xml:space="preserve">Trunk and secondary nodes</w:t>
      </w:r>
      <w:r>
        <w:t xml:space="preserve"> </w:t>
      </w:r>
      <w:r>
        <w:t xml:space="preserve">(purple and brown): intermediate layers that redistribute flow toward the gateway region;</w:t>
      </w:r>
    </w:p>
    <w:p>
      <w:pPr>
        <w:numPr>
          <w:ilvl w:val="0"/>
          <w:numId w:val="1014"/>
        </w:numPr>
      </w:pPr>
      <w:r>
        <w:rPr>
          <w:b/>
          <w:bCs/>
        </w:rPr>
        <w:t xml:space="preserve">Dispatch gateways</w:t>
      </w:r>
      <w:r>
        <w:t xml:space="preserve"> </w:t>
      </w:r>
      <w:r>
        <w:t xml:space="preserve">(light blue): two gateway nodes that regulate final delivery into the combiner;</w:t>
      </w:r>
    </w:p>
    <w:p>
      <w:pPr>
        <w:numPr>
          <w:ilvl w:val="0"/>
          <w:numId w:val="1014"/>
        </w:numPr>
      </w:pPr>
      <w:r>
        <w:rPr>
          <w:b/>
          <w:bCs/>
        </w:rPr>
        <w:t xml:space="preserve">Distribution combiner</w:t>
      </w:r>
      <w:r>
        <w:t xml:space="preserve"> </w:t>
      </w:r>
      <w:r>
        <w:t xml:space="preserve">(pink): a single aggregation node upstream of the sinks;</w:t>
      </w:r>
    </w:p>
    <w:p>
      <w:pPr>
        <w:numPr>
          <w:ilvl w:val="0"/>
          <w:numId w:val="1014"/>
        </w:numPr>
      </w:pPr>
      <w:r>
        <w:rPr>
          <w:b/>
          <w:bCs/>
        </w:rPr>
        <w:t xml:space="preserve">Sink nodes</w:t>
      </w:r>
      <w:r>
        <w:t xml:space="preserve"> </w:t>
      </w:r>
      <w:r>
        <w:t xml:space="preserve">(grey): seven terminal demand nodes.</w:t>
      </w:r>
    </w:p>
    <w:p>
      <w:pPr>
        <w:pStyle w:val="FirstParagraph"/>
      </w:pPr>
      <w:r>
        <w:t xml:space="preserve">Two capacity configurations are considered, shown in Figure </w:t>
      </w:r>
      <w:hyperlink w:anchor="fig:flow_bm_networks">
        <w:r>
          <w:rPr>
            <w:rStyle w:val="Hyperlink"/>
          </w:rPr>
          <w:t xml:space="preserve">7</w:t>
        </w:r>
      </w:hyperlink>
      <w:r>
        <w:t xml:space="preserve">. Both preserve the same backbone topology but differ in feeder-capacity allocation upstream of the gateway layer.</w:t>
      </w:r>
    </w:p>
    <w:p>
      <w:pPr>
        <w:numPr>
          <w:ilvl w:val="0"/>
          <w:numId w:val="1015"/>
        </w:numPr>
      </w:pPr>
      <w:r>
        <w:rPr>
          <w:b/>
          <w:bCs/>
        </w:rPr>
        <w:t xml:space="preserve">Configuration A</w:t>
      </w:r>
      <w:r>
        <w:t xml:space="preserve"> </w:t>
      </w:r>
      <w:r>
        <w:t xml:space="preserve">is a symmetry-preserving design with balanced feeder capacities into the gateways and a limited direct bypass to</w:t>
      </w:r>
      <w:r>
        <w:t xml:space="preserve"> </w:t>
      </w:r>
      <w:r>
        <w:rPr>
          <w:rStyle w:val="VerbatimChar"/>
        </w:rPr>
        <w:t xml:space="preserve">sink_4</w:t>
      </w:r>
      <w:r>
        <w:t xml:space="preserve">. The bypass is intentionally set below the sink-side intake limit so that it provides only partial relief.</w:t>
      </w:r>
    </w:p>
    <w:p>
      <w:pPr>
        <w:numPr>
          <w:ilvl w:val="0"/>
          <w:numId w:val="1015"/>
        </w:numPr>
      </w:pPr>
      <w:r>
        <w:rPr>
          <w:b/>
          <w:bCs/>
        </w:rPr>
        <w:t xml:space="preserve">Configuration B</w:t>
      </w:r>
      <w:r>
        <w:t xml:space="preserve"> </w:t>
      </w:r>
      <w:r>
        <w:t xml:space="preserve">reinforces selected feeder edges into the gateway layer. This does not alter the overall topology, but changes the structural distribution of capacity and therefore the responsiveness of the network to edge upgrades and failures.</w:t>
      </w:r>
    </w:p>
    <w:p>
      <w:pPr>
        <w:pStyle w:val="FirstParagraph"/>
      </w:pPr>
      <w:r>
        <w:t xml:space="preserve">The benchmark was constructed so that both configurations achieve the same baseline maximum throughput while differing in bottleneck structure, cut degeneracy, and upgrade sensitivity. This makes it suitable for evaluating the diagnostic value of the toolkit beyond the single quantity</w:t>
      </w:r>
      <w:r>
        <w:t xml:space="preserve"> </w:t>
      </w:r>
      <m:oMath>
        <m:sSup>
          <m:e>
            <m:r>
              <m:t>F</m:t>
            </m:r>
          </m:e>
          <m:sup>
            <m:r>
              <m:rPr>
                <m:sty m:val="p"/>
              </m:rPr>
              <m:t>⋆</m:t>
            </m:r>
          </m:sup>
        </m:sSup>
      </m:oMath>
      <w:r>
        <w:t xml:space="preserve">.</w:t>
      </w:r>
    </w:p>
    <w:bookmarkStart w:id="67" w:name="fig:flow_bm_networks"/>
    <w:tbl>
      <w:tblPr>
        <w:tblStyle w:val="FigureTable"/>
        <w:tblW w:type="auto" w:w="0"/>
        <w:jc w:val="center"/>
        <w:tblLook w:firstRow="0" w:lastRow="0" w:firstColumn="0" w:lastColumn="0"/>
      </w:tblPr>
      <w:tblGrid>
        <w:gridCol w:w="3960"/>
        <w:gridCol w:w="3960"/>
      </w:tblGrid>
      <w:tr>
        <w:tc>
          <w:tcPr/>
          <w:bookmarkStart w:id="65" w:name="fig:network_a"/>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Configuration A: symmetric gateway design with limited direct bypass to</w:t>
            </w:r>
            <w:r>
              <w:t xml:space="preserve"> </w:t>
            </w:r>
            <w:r>
              <w:rPr>
                <w:rStyle w:val="VerbatimChar"/>
              </w:rPr>
              <w:t xml:space="preserve">sink_4</w:t>
            </w:r>
            <w:r>
              <w:t xml:space="preserve">.</w:t>
            </w:r>
          </w:p>
          <w:bookmarkEnd w:id="65"/>
        </w:tc>
        <w:tc>
          <w:tcPr/>
          <w:bookmarkStart w:id="66" w:name="fig:network_b"/>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Configuration B: reinforced feeder capacities into the gateway layer.</w:t>
            </w:r>
          </w:p>
          <w:bookmarkEnd w:id="66"/>
        </w:tc>
      </w:tr>
    </w:tbl>
    <w:p>
      <w:pPr>
        <w:pStyle w:val="ImageCaption"/>
      </w:pPr>
      <w:r>
        <w:t xml:space="preserve">Synthetic benchmark DAG used for comparative flow and reachability diagnostics. Node colours indicate functional classes in the layered network.</w:t>
      </w:r>
    </w:p>
    <w:bookmarkEnd w:id="67"/>
    <w:bookmarkEnd w:id="68"/>
    <w:bookmarkStart w:id="70" w:name="X1078fac1353aa96ff09150adaf240792989db26"/>
    <w:p>
      <w:pPr>
        <w:pStyle w:val="Heading2"/>
      </w:pPr>
      <w:r>
        <w:rPr>
          <w:rStyle w:val="SectionNumber"/>
        </w:rPr>
        <w:t xml:space="preserve">6.2</w:t>
      </w:r>
      <w:r>
        <w:tab/>
      </w:r>
      <w:r>
        <w:t xml:space="preserve">Baseline throughput and bottleneck structure</w:t>
      </w:r>
    </w:p>
    <w:p>
      <w:pPr>
        <w:pStyle w:val="FirstParagraph"/>
      </w:pPr>
      <w:r>
        <w:t xml:space="preserve">The baseline flow solve gives the same maximum throughput in both configurations:</w:t>
      </w:r>
    </w:p>
    <w:p>
      <w:pPr>
        <w:pStyle w:val="BodyText"/>
      </w:pPr>
      <m:oMathPara>
        <m:oMathParaPr>
          <m:jc m:val="center"/>
        </m:oMathParaPr>
        <m:oMath>
          <m:sSup>
            <m:e>
              <m:r>
                <m:t>F</m:t>
              </m:r>
            </m:e>
            <m:sup>
              <m:r>
                <m:rPr>
                  <m:sty m:val="p"/>
                </m:rPr>
                <m:t>⋆</m:t>
              </m:r>
            </m:sup>
          </m:sSup>
          <m:r>
            <m:rPr>
              <m:sty m:val="p"/>
            </m:rPr>
            <m:t>=</m:t>
          </m:r>
          <m:r>
            <m:t>37.0</m:t>
          </m:r>
          <m:r>
            <m:rPr>
              <m:sty m:val="p"/>
            </m:rPr>
            <m:t>.</m:t>
          </m:r>
        </m:oMath>
      </m:oMathPara>
    </w:p>
    <w:p>
      <w:pPr>
        <w:pStyle w:val="FirstParagraph"/>
      </w:pPr>
      <w:r>
        <w:t xml:space="preserve">At this level alone, the two designs appear equivalent. However, Table </w:t>
      </w:r>
      <w:hyperlink w:anchor="tab:config_comparison">
        <w:r>
          <w:rPr>
            <w:rStyle w:val="Hyperlink"/>
          </w:rPr>
          <w:t xml:space="preserve">1</w:t>
        </w:r>
      </w:hyperlink>
      <w:r>
        <w:t xml:space="preserve"> </w:t>
      </w:r>
      <w:r>
        <w:t xml:space="preserve">shows that they differ substantially in the structure of the active bottleneck.</w:t>
      </w:r>
    </w:p>
    <w:bookmarkStart w:id="69" w:name="tab:config_comparison"/>
    <w:p>
      <w:pPr>
        <w:pStyle w:val="TableCaption"/>
      </w:pPr>
      <w:r>
        <w:t xml:space="preserve">Comparison of the two benchmark configurations under the baseline and selected diagnostic analyses.</w:t>
      </w:r>
    </w:p>
    <w:tbl>
      <w:tblPr>
        <w:tblStyle w:val="Table"/>
        <w:tblW w:type="auto" w:w="0"/>
        <w:tblLook w:firstRow="1" w:lastRow="0" w:firstColumn="0" w:lastColumn="0" w:noHBand="0" w:noVBand="0" w:val="0020"/>
        <w:tblCaption w:val="Comparison of the two benchmark configurations under the baseline and selected diagnostic analyses."/>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Config A</w:t>
            </w:r>
          </w:p>
        </w:tc>
        <w:tc>
          <w:tcPr/>
          <w:p>
            <w:pPr>
              <w:pStyle w:val="Compact"/>
              <w:jc w:val="center"/>
            </w:pPr>
            <w:r>
              <w:t xml:space="preserve">Config B</w:t>
            </w:r>
          </w:p>
        </w:tc>
      </w:tr>
      <w:tr>
        <w:tc>
          <w:tcPr/>
          <w:p>
            <w:pPr>
              <w:pStyle w:val="Compact"/>
              <w:jc w:val="left"/>
            </w:pPr>
            <m:oMath>
              <m:sSup>
                <m:e>
                  <m:r>
                    <m:t>F</m:t>
                  </m:r>
                </m:e>
                <m:sup>
                  <m:r>
                    <m:rPr>
                      <m:sty m:val="p"/>
                    </m:rPr>
                    <m:t>⋆</m:t>
                  </m:r>
                </m:sup>
              </m:sSup>
            </m:oMath>
          </w:p>
        </w:tc>
        <w:tc>
          <w:tcPr/>
          <w:p>
            <w:pPr>
              <w:pStyle w:val="Compact"/>
              <w:jc w:val="center"/>
            </w:pPr>
            <w:r>
              <w:t xml:space="preserve">37.0</w:t>
            </w:r>
          </w:p>
        </w:tc>
        <w:tc>
          <w:tcPr/>
          <w:p>
            <w:pPr>
              <w:pStyle w:val="Compact"/>
              <w:jc w:val="center"/>
            </w:pPr>
            <w:r>
              <w:t xml:space="preserve">37.0</w:t>
            </w:r>
          </w:p>
        </w:tc>
      </w:tr>
      <w:tr>
        <w:tc>
          <w:tcPr/>
          <w:p>
            <w:pPr>
              <w:pStyle w:val="Compact"/>
              <w:jc w:val="left"/>
            </w:pPr>
            <w:r>
              <w:rPr>
                <w:rStyle w:val="VerbatimChar"/>
              </w:rPr>
              <w:t xml:space="preserve">saturated_edges</w:t>
            </w:r>
          </w:p>
        </w:tc>
        <w:tc>
          <w:tcPr/>
          <w:p>
            <w:pPr>
              <w:pStyle w:val="Compact"/>
              <w:jc w:val="center"/>
            </w:pPr>
            <w:r>
              <w:t xml:space="preserve">41</w:t>
            </w:r>
          </w:p>
        </w:tc>
        <w:tc>
          <w:tcPr/>
          <w:p>
            <w:pPr>
              <w:pStyle w:val="Compact"/>
              <w:jc w:val="center"/>
            </w:pPr>
            <w:r>
              <w:t xml:space="preserve">35</w:t>
            </w:r>
          </w:p>
        </w:tc>
      </w:tr>
      <w:tr>
        <w:tc>
          <w:tcPr/>
          <w:p>
            <w:pPr>
              <w:pStyle w:val="Compact"/>
              <w:jc w:val="left"/>
            </w:pPr>
            <w:r>
              <w:rPr>
                <w:rStyle w:val="VerbatimChar"/>
              </w:rPr>
              <w:t xml:space="preserve">free_zone_size</w:t>
            </w:r>
          </w:p>
        </w:tc>
        <w:tc>
          <w:tcPr/>
          <w:p>
            <w:pPr>
              <w:pStyle w:val="Compact"/>
              <w:jc w:val="center"/>
            </w:pPr>
            <w:r>
              <w:t xml:space="preserve">2</w:t>
            </w:r>
          </w:p>
        </w:tc>
        <w:tc>
          <w:tcPr/>
          <w:p>
            <w:pPr>
              <w:pStyle w:val="Compact"/>
              <w:jc w:val="center"/>
            </w:pPr>
            <w:r>
              <w:t xml:space="preserve">0</w:t>
            </w:r>
          </w:p>
        </w:tc>
      </w:tr>
      <w:tr>
        <w:tc>
          <w:tcPr/>
          <w:p>
            <w:pPr>
              <w:pStyle w:val="Compact"/>
              <w:jc w:val="left"/>
            </w:pPr>
            <w:r>
              <w:rPr>
                <w:rStyle w:val="VerbatimChar"/>
              </w:rPr>
              <w:t xml:space="preserve">min_cuts</w:t>
            </w:r>
          </w:p>
        </w:tc>
        <w:tc>
          <w:tcPr/>
          <w:p>
            <w:pPr>
              <w:pStyle w:val="Compact"/>
              <w:jc w:val="center"/>
            </w:pPr>
            <w:r>
              <w:t xml:space="preserve">4</w:t>
            </w:r>
          </w:p>
        </w:tc>
        <w:tc>
          <w:tcPr/>
          <w:p>
            <w:pPr>
              <w:pStyle w:val="Compact"/>
              <w:jc w:val="center"/>
            </w:pPr>
            <w:r>
              <w:t xml:space="preserve">1</w:t>
            </w:r>
          </w:p>
        </w:tc>
      </w:tr>
      <w:tr>
        <w:tc>
          <w:tcPr/>
          <w:p>
            <w:pPr>
              <w:pStyle w:val="Compact"/>
              <w:jc w:val="left"/>
            </w:pPr>
            <w:r>
              <w:rPr>
                <w:rStyle w:val="VerbatimChar"/>
              </w:rPr>
              <w:t xml:space="preserve">spof_nodes</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Gateway-edge upgrade effective</w:t>
            </w:r>
          </w:p>
        </w:tc>
        <w:tc>
          <w:tcPr/>
          <w:p>
            <w:pPr>
              <w:pStyle w:val="Compact"/>
              <w:jc w:val="center"/>
            </w:pPr>
            <w:r>
              <w:t xml:space="preserve">no</w:t>
            </w:r>
          </w:p>
        </w:tc>
        <w:tc>
          <w:tcPr/>
          <w:p>
            <w:pPr>
              <w:pStyle w:val="Compact"/>
              <w:jc w:val="center"/>
            </w:pPr>
            <w:r>
              <w:t xml:space="preserve">yes</w:t>
            </w:r>
          </w:p>
        </w:tc>
      </w:tr>
    </w:tbl>
    <w:bookmarkEnd w:id="69"/>
    <w:p>
      <w:pPr>
        <w:pStyle w:val="BodyText"/>
      </w:pPr>
      <w:r>
        <w:t xml:space="preserve">Configuration A exhibits four valid minimum cuts and a free-zone size of 2, indicating a degenerate bottleneck structure with multiple equivalent cut partitions. Configuration B has a unique minimum cut and no free zone, meaning that its throughput-limiting structure is much more sharply localised. Thus, although both networks deliver the same baseline throughput, Configuration A distributes its bottleneck more broadly, whereas Configuration B concentrates it.</w:t>
      </w:r>
    </w:p>
    <w:p>
      <w:pPr>
        <w:pStyle w:val="BodyText"/>
      </w:pPr>
      <w:r>
        <w:t xml:space="preserve">This is precisely the type of distinction that a baseline max-flow value alone cannot reveal.</w:t>
      </w:r>
    </w:p>
    <w:bookmarkEnd w:id="70"/>
    <w:bookmarkStart w:id="71" w:name="Xab10cfff748ace466cf68ce51a4a0f6b10e3627"/>
    <w:p>
      <w:pPr>
        <w:pStyle w:val="Heading2"/>
      </w:pPr>
      <w:r>
        <w:rPr>
          <w:rStyle w:val="SectionNumber"/>
        </w:rPr>
        <w:t xml:space="preserve">6.3</w:t>
      </w:r>
      <w:r>
        <w:tab/>
      </w:r>
      <w:r>
        <w:t xml:space="preserve">Effect of the direct bypass and structural fragility</w:t>
      </w:r>
    </w:p>
    <w:p>
      <w:pPr>
        <w:pStyle w:val="FirstParagraph"/>
      </w:pPr>
      <w:r>
        <w:t xml:space="preserve">Both configurations include a direct bypass edge from node 132 to</w:t>
      </w:r>
      <w:r>
        <w:t xml:space="preserve"> </w:t>
      </w:r>
      <w:r>
        <w:rPr>
          <w:rStyle w:val="VerbatimChar"/>
        </w:rPr>
        <w:t xml:space="preserve">sink_4</w:t>
      </w:r>
      <w:r>
        <w:t xml:space="preserve">. This edge contributes only partial service because its capacity is below the sink-side demand limit, but it has an important structural effect: it removes node 136 from the structural single-point-of-failure set.</w:t>
      </w:r>
    </w:p>
    <w:p>
      <w:pPr>
        <w:pStyle w:val="BodyText"/>
      </w:pPr>
      <w:r>
        <w:t xml:space="preserve">Without the bypass, every source-to-sink path passes through node 136, so removing that node disconnects the network completely. With the bypass present, a residual throughput of 3 units remains available even when node 136 is removed. Consequently, the structural SPOF set becomes empty in both configurations.</w:t>
      </w:r>
    </w:p>
    <w:p>
      <w:pPr>
        <w:pStyle w:val="BodyText"/>
      </w:pPr>
      <w:r>
        <w:t xml:space="preserve">This illustrates an important distinction captured by the toolkit: a network may cease to have structural single points of failure while still remaining operationally fragile. In the present benchmark, the bypass prevents complete disconnection but does not eliminate strong dependence on the combiner and gateway corridor for most delivered flow.</w:t>
      </w:r>
    </w:p>
    <w:bookmarkEnd w:id="71"/>
    <w:bookmarkStart w:id="73" w:name="node-capacitated-analysis"/>
    <w:p>
      <w:pPr>
        <w:pStyle w:val="Heading2"/>
      </w:pPr>
      <w:r>
        <w:rPr>
          <w:rStyle w:val="SectionNumber"/>
        </w:rPr>
        <w:t xml:space="preserve">6.4</w:t>
      </w:r>
      <w:r>
        <w:tab/>
      </w:r>
      <w:r>
        <w:t xml:space="preserve">Node-capacitated analysis</w:t>
      </w:r>
    </w:p>
    <w:p>
      <w:pPr>
        <w:pStyle w:val="FirstParagraph"/>
      </w:pPr>
      <w:r>
        <w:t xml:space="preserve">When node capacities are activated, both configurations experience the same reduction in maximum throughput:</w:t>
      </w:r>
    </w:p>
    <w:p>
      <w:pPr>
        <w:pStyle w:val="BodyText"/>
      </w:pPr>
      <m:oMathPara>
        <m:oMathParaPr>
          <m:jc m:val="center"/>
        </m:oMathParaPr>
        <m:oMath>
          <m:sSubSup>
            <m:e>
              <m:r>
                <m:t>F</m:t>
              </m:r>
            </m:e>
            <m:sub>
              <m:r>
                <m:rPr>
                  <m:nor/>
                  <m:sty m:val="p"/>
                </m:rPr>
                <m:t>node-cap</m:t>
              </m:r>
            </m:sub>
            <m:sup>
              <m:r>
                <m:rPr>
                  <m:sty m:val="p"/>
                </m:rPr>
                <m:t>⋆</m:t>
              </m:r>
            </m:sup>
          </m:sSubSup>
          <m:r>
            <m:rPr>
              <m:sty m:val="p"/>
            </m:rPr>
            <m:t>=</m:t>
          </m:r>
          <m:r>
            <m:t>30.0</m:t>
          </m:r>
          <m:r>
            <m:rPr>
              <m:sty m:val="p"/>
            </m:rPr>
            <m:t>,</m:t>
          </m:r>
        </m:oMath>
      </m:oMathPara>
    </w:p>
    <w:p>
      <w:pPr>
        <w:pStyle w:val="FirstParagraph"/>
      </w:pPr>
      <w:r>
        <w:t xml:space="preserve">corresponding to a loss of 7 units relative to the edge-only case.</w:t>
      </w:r>
    </w:p>
    <w:p>
      <w:pPr>
        <w:pStyle w:val="BodyText"/>
      </w:pPr>
      <w:r>
        <w:t xml:space="preserve">In both configurations, the same six Layer-3 nodes saturate under the node-capacitated solve:</w:t>
      </w:r>
    </w:p>
    <w:p>
      <w:pPr>
        <w:pStyle w:val="BodyText"/>
      </w:pPr>
      <m:oMathPara>
        <m:oMathParaPr>
          <m:jc m:val="center"/>
        </m:oMathParaPr>
        <m:oMath>
          <m:r>
            <m:rPr>
              <m:sty m:val="p"/>
            </m:rPr>
            <m:t>{</m:t>
          </m:r>
          <m:r>
            <m:t>114</m:t>
          </m:r>
          <m:r>
            <m:rPr>
              <m:sty m:val="p"/>
            </m:rPr>
            <m:t>,</m:t>
          </m:r>
          <m:r>
            <m:t>115</m:t>
          </m:r>
          <m:r>
            <m:rPr>
              <m:sty m:val="p"/>
            </m:rPr>
            <m:t>,</m:t>
          </m:r>
          <m:r>
            <m:t>116</m:t>
          </m:r>
          <m:r>
            <m:rPr>
              <m:sty m:val="p"/>
            </m:rPr>
            <m:t>,</m:t>
          </m:r>
          <m:r>
            <m:t>117</m:t>
          </m:r>
          <m:r>
            <m:rPr>
              <m:sty m:val="p"/>
            </m:rPr>
            <m:t>,</m:t>
          </m:r>
          <m:r>
            <m:t>118</m:t>
          </m:r>
          <m:r>
            <m:rPr>
              <m:sty m:val="p"/>
            </m:rPr>
            <m:t>,</m:t>
          </m:r>
          <m:r>
            <m:t>119</m:t>
          </m:r>
          <m:r>
            <m:rPr>
              <m:sty m:val="p"/>
            </m:rPr>
            <m:t>}</m:t>
          </m:r>
          <m:r>
            <m:rPr>
              <m:sty m:val="p"/>
            </m:rPr>
            <m:t>.</m:t>
          </m:r>
        </m:oMath>
      </m:oMathPara>
    </w:p>
    <w:p>
      <w:pPr>
        <w:pStyle w:val="FirstParagraph"/>
      </w:pPr>
      <w:r>
        <w:t xml:space="preserve">This shows that once these internal node limits are activated, the difference between the two edge-capacity configurations becomes irrelevant to the total achievable throughput.</w:t>
      </w:r>
    </w:p>
    <w:p>
      <w:pPr>
        <w:pStyle w:val="BodyText"/>
      </w:pPr>
      <w:r>
        <w:t xml:space="preserve">The sink-level allocation, however, reveals an important asymmetry. The lost throughput is not distributed evenly across demand nodes. In particular,</w:t>
      </w:r>
      <w:r>
        <w:t xml:space="preserve"> </w:t>
      </w:r>
      <w:r>
        <w:rPr>
          <w:rStyle w:val="VerbatimChar"/>
        </w:rPr>
        <w:t xml:space="preserve">sink_1</w:t>
      </w:r>
      <w:r>
        <w:t xml:space="preserve"> </w:t>
      </w:r>
      <w:r>
        <w:t xml:space="preserve">loses all service under the node-capacitated solve, while other sinks retain their baseline delivery levels or experience only partial reductions. Figure </w:t>
      </w:r>
      <w:hyperlink w:anchor="fig:sink_flow_heatmap">
        <w:r>
          <w:rPr>
            <w:rStyle w:val="Hyperlink"/>
          </w:rPr>
          <w:t xml:space="preserve">8</w:t>
        </w:r>
      </w:hyperlink>
      <w:r>
        <w:t xml:space="preserve"> </w:t>
      </w:r>
      <w:r>
        <w:t xml:space="preserve">summarises this effect.</w:t>
      </w:r>
    </w:p>
    <w:bookmarkStart w:id="72" w:name="fig:sink_flow_heatma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Sink-flow comparison for the edge-only and node-capacitated solves across Configurations A and B.</w:t>
      </w:r>
    </w:p>
    <w:bookmarkEnd w:id="72"/>
    <w:p>
      <w:pPr>
        <w:pStyle w:val="BodyText"/>
      </w:pPr>
      <w:r>
        <w:t xml:space="preserve">A single-node upgrade sweep over the six saturated Layer-3 nodes shows that increasing the capacity of any one of them by 7 units restores</w:t>
      </w:r>
      <w:r>
        <w:t xml:space="preserve"> </w:t>
      </w:r>
      <w:r>
        <w:rPr>
          <w:rStyle w:val="VerbatimChar"/>
        </w:rPr>
        <w:t xml:space="preserve">sink_1</w:t>
      </w:r>
      <w:r>
        <w:t xml:space="preserve"> </w:t>
      </w:r>
      <w:r>
        <w:t xml:space="preserve">and returns the system to the edge-only throughput of 37.0. The throughput effect is therefore identical across the six candidates, even though the final target capacities differ. In practice, this means that the final choice among them should be based on cost, access, or engineering feasibility rather than on throughput alone.</w:t>
      </w:r>
    </w:p>
    <w:bookmarkEnd w:id="73"/>
    <w:bookmarkStart w:id="74" w:name="flow-decomposition-and-route-usage"/>
    <w:p>
      <w:pPr>
        <w:pStyle w:val="Heading2"/>
      </w:pPr>
      <w:r>
        <w:rPr>
          <w:rStyle w:val="SectionNumber"/>
        </w:rPr>
        <w:t xml:space="preserve">6.5</w:t>
      </w:r>
      <w:r>
        <w:tab/>
      </w:r>
      <w:r>
        <w:t xml:space="preserve">Flow decomposition and route usage</w:t>
      </w:r>
    </w:p>
    <w:p>
      <w:pPr>
        <w:pStyle w:val="FirstParagraph"/>
      </w:pPr>
      <w:r>
        <w:t xml:space="preserve">Flow decomposition shows that the two configurations deliver the same total throughput through very similar route-level patterns. Configuration A decomposes into 27 contributing path components and Configuration B into 25. In both cases, the largest contribution is 3.0 units on a path bottlenecked in the Layer-3 processing corridor, while most remaining contributions lie in the 1.0–2.0 unit range.</w:t>
      </w:r>
    </w:p>
    <w:p>
      <w:pPr>
        <w:pStyle w:val="BodyText"/>
      </w:pPr>
      <w:r>
        <w:t xml:space="preserve">This result complements the cut-based analysis. The two configurations differ markedly in bottleneck structure and upgrade effectiveness, but not in their high-level route utilisation. The main delivery pattern continues to pass through the same internal corridors and through the combiner, while the direct bypass contributes only limited relief. Thus, the difference between the configurations lies less in global flow allocation than in the structural distribution of binding constraints.</w:t>
      </w:r>
    </w:p>
    <w:bookmarkEnd w:id="74"/>
    <w:bookmarkStart w:id="78" w:name="sensitivity-and-failure-impact"/>
    <w:p>
      <w:pPr>
        <w:pStyle w:val="Heading2"/>
      </w:pPr>
      <w:r>
        <w:rPr>
          <w:rStyle w:val="SectionNumber"/>
        </w:rPr>
        <w:t xml:space="preserve">6.6</w:t>
      </w:r>
      <w:r>
        <w:tab/>
      </w:r>
      <w:r>
        <w:t xml:space="preserve">Sensitivity and failure impact</w:t>
      </w:r>
    </w:p>
    <w:p>
      <w:pPr>
        <w:pStyle w:val="FirstParagraph"/>
      </w:pPr>
      <w:r>
        <w:t xml:space="preserve">The sensitivity analysis reveals a clear contrast between the two configurations. In Configuration A, 15 edges have non-zero single-edge impact on</w:t>
      </w:r>
      <w:r>
        <w:t xml:space="preserve"> </w:t>
      </w:r>
      <m:oMath>
        <m:sSup>
          <m:e>
            <m:r>
              <m:t>F</m:t>
            </m:r>
          </m:e>
          <m:sup>
            <m:r>
              <m:rPr>
                <m:sty m:val="p"/>
              </m:rPr>
              <m:t>⋆</m:t>
            </m:r>
          </m:sup>
        </m:sSup>
      </m:oMath>
      <w:r>
        <w:t xml:space="preserve">. The two gateway-to-combiner edges dominate the ranking, each causing a throughput drop of 17 units when removed. A second tier of feeder edges causes a drop of 4 units, followed by several edges, including the direct bypass, with a drop of 3 units.</w:t>
      </w:r>
    </w:p>
    <w:p>
      <w:pPr>
        <w:pStyle w:val="BodyText"/>
      </w:pPr>
      <w:r>
        <w:t xml:space="preserve">In Configuration B, the non-zero sensitivity set collapses to just three edges: the two gateway-to-combiner edges and the direct bypass. The reinforced feeder capacities absorb all single-edge feeder losses through rerouting, so those feeder edges no longer reduce</w:t>
      </w:r>
      <w:r>
        <w:t xml:space="preserve"> </w:t>
      </w:r>
      <m:oMath>
        <m:sSup>
          <m:e>
            <m:r>
              <m:t>F</m:t>
            </m:r>
          </m:e>
          <m:sup>
            <m:r>
              <m:rPr>
                <m:sty m:val="p"/>
              </m:rPr>
              <m:t>⋆</m:t>
            </m:r>
          </m:sup>
        </m:sSup>
      </m:oMath>
      <w:r>
        <w:t xml:space="preserve"> </w:t>
      </w:r>
      <w:r>
        <w:t xml:space="preserve">individually. Figure </w:t>
      </w:r>
      <w:hyperlink w:anchor="fig:sensitivity_two_panel">
        <w:r>
          <w:rPr>
            <w:rStyle w:val="Hyperlink"/>
          </w:rPr>
          <w:t xml:space="preserve">11</w:t>
        </w:r>
      </w:hyperlink>
      <w:r>
        <w:t xml:space="preserve"> </w:t>
      </w:r>
      <w:r>
        <w:t xml:space="preserve">summarises these differences.</w:t>
      </w:r>
    </w:p>
    <w:bookmarkStart w:id="77" w:name="fig:sensitivity_two_panel"/>
    <w:tbl>
      <w:tblPr>
        <w:tblStyle w:val="FigureTable"/>
        <w:tblW w:type="auto" w:w="0"/>
        <w:jc w:val="center"/>
        <w:tblLook w:firstRow="0" w:lastRow="0" w:firstColumn="0" w:lastColumn="0"/>
      </w:tblPr>
      <w:tblGrid>
        <w:gridCol w:w="3960"/>
        <w:gridCol w:w="3960"/>
      </w:tblGrid>
      <w:tr>
        <w:tc>
          <w:tcPr/>
          <w:bookmarkStart w:id="75" w:name="fig:critical_overlay_a"/>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Configuration A critical-edge overlay. Edge emphasis is proportional to non-zero</w:t>
            </w:r>
            <w:r>
              <w:t xml:space="preserve"> </w:t>
            </w:r>
            <m:oMath>
              <m:r>
                <m:rPr>
                  <m:sty m:val="p"/>
                </m:rPr>
                <m:t>Δ</m:t>
              </m:r>
              <m:sSup>
                <m:e>
                  <m:r>
                    <m:t>F</m:t>
                  </m:r>
                </m:e>
                <m:sup>
                  <m:r>
                    <m:rPr>
                      <m:sty m:val="p"/>
                    </m:rPr>
                    <m:t>⋆</m:t>
                  </m:r>
                </m:sup>
              </m:sSup>
            </m:oMath>
            <w:r>
              <w:t xml:space="preserve">.</w:t>
            </w:r>
          </w:p>
          <w:bookmarkEnd w:id="75"/>
        </w:tc>
        <w:tc>
          <w:tcPr/>
          <w:bookmarkStart w:id="76" w:name="fig:critical_bars_ab"/>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Ranked non-zero single-edge sensitivity for Configurations A and B.</w:t>
            </w:r>
          </w:p>
          <w:bookmarkEnd w:id="76"/>
        </w:tc>
      </w:tr>
    </w:tbl>
    <w:p>
      <w:pPr>
        <w:pStyle w:val="ImageCaption"/>
      </w:pPr>
      <w:r>
        <w:t xml:space="preserve">Single-edge sensitivity results for the benchmark network.</w:t>
      </w:r>
    </w:p>
    <w:bookmarkEnd w:id="77"/>
    <w:p>
      <w:pPr>
        <w:pStyle w:val="BodyText"/>
      </w:pPr>
      <w:r>
        <w:t xml:space="preserve">The same pattern appears in the two-edge failure analysis. In both configurations, the simultaneous loss of the two gateway-to-combiner edges is the dominant failure mode, reducing throughput from 37.0 to 3.0. Configuration B again displays a more concentrated failure-impact structure, because feeder reinforcement eliminates most independent feeder-edge vulnerabilities.</w:t>
      </w:r>
    </w:p>
    <w:p>
      <w:pPr>
        <w:pStyle w:val="BodyText"/>
      </w:pPr>
      <w:r>
        <w:t xml:space="preserve">Taken together, these results show that two networks with the same</w:t>
      </w:r>
      <w:r>
        <w:t xml:space="preserve"> </w:t>
      </w:r>
      <m:oMath>
        <m:sSup>
          <m:e>
            <m:r>
              <m:t>F</m:t>
            </m:r>
          </m:e>
          <m:sup>
            <m:r>
              <m:rPr>
                <m:sty m:val="p"/>
              </m:rPr>
              <m:t>⋆</m:t>
            </m:r>
          </m:sup>
        </m:sSup>
      </m:oMath>
      <w:r>
        <w:t xml:space="preserve"> </w:t>
      </w:r>
      <w:r>
        <w:t xml:space="preserve">may differ strongly in how throughput is exposed to single or combined failures.</w:t>
      </w:r>
    </w:p>
    <w:bookmarkEnd w:id="78"/>
    <w:bookmarkStart w:id="81" w:name="Xcf4afa4016bf3e0265ad42143a231691890d8d7"/>
    <w:p>
      <w:pPr>
        <w:pStyle w:val="Heading2"/>
      </w:pPr>
      <w:r>
        <w:rPr>
          <w:rStyle w:val="SectionNumber"/>
        </w:rPr>
        <w:t xml:space="preserve">6.7</w:t>
      </w:r>
      <w:r>
        <w:tab/>
      </w:r>
      <w:r>
        <w:t xml:space="preserve">Uniform degradation and parametric thresholds</w:t>
      </w:r>
    </w:p>
    <w:p>
      <w:pPr>
        <w:pStyle w:val="FirstParagraph"/>
      </w:pPr>
      <w:r>
        <w:t xml:space="preserve">Under uniform capacity scaling,</w:t>
      </w:r>
    </w:p>
    <w:p>
      <w:pPr>
        <w:pStyle w:val="BodyText"/>
      </w:pPr>
      <m:oMathPara>
        <m:oMathParaPr>
          <m:jc m:val="center"/>
        </m:oMathParaPr>
        <m:oMath>
          <m:sSubSup>
            <m:e>
              <m:r>
                <m:t>c</m:t>
              </m:r>
            </m:e>
            <m:sub>
              <m:r>
                <m:t>u</m:t>
              </m:r>
              <m:r>
                <m:t>v</m:t>
              </m:r>
            </m:sub>
            <m:sup>
              <m:r>
                <m:rPr>
                  <m:sty m:val="p"/>
                </m:rPr>
                <m:t>′</m:t>
              </m:r>
            </m:sup>
          </m:sSubSup>
          <m:r>
            <m:rPr>
              <m:sty m:val="p"/>
            </m:rPr>
            <m:t>=</m:t>
          </m:r>
          <m:r>
            <m:t>α</m:t>
          </m:r>
          <m:sSub>
            <m:e>
              <m:r>
                <m:t>c</m:t>
              </m:r>
            </m:e>
            <m:sub>
              <m:r>
                <m:t>u</m:t>
              </m:r>
              <m:r>
                <m:t>v</m:t>
              </m:r>
            </m:sub>
          </m:sSub>
          <m:r>
            <m:rPr>
              <m:sty m:val="p"/>
            </m:rPr>
            <m:t>,</m:t>
          </m:r>
        </m:oMath>
      </m:oMathPara>
    </w:p>
    <w:p>
      <w:pPr>
        <w:pStyle w:val="FirstParagraph"/>
      </w:pPr>
      <w:r>
        <w:t xml:space="preserve">both configurations exhibit the same degradation trajectory over the tested range:</w:t>
      </w:r>
    </w:p>
    <w:p>
      <w:pPr>
        <w:pStyle w:val="BodyText"/>
      </w:pPr>
      <m:oMathPara>
        <m:oMathParaPr>
          <m:jc m:val="center"/>
        </m:oMathParaPr>
        <m:oMath>
          <m:sSup>
            <m:e>
              <m:r>
                <m:t>F</m:t>
              </m:r>
            </m:e>
            <m:sup>
              <m:r>
                <m:rPr>
                  <m:sty m:val="p"/>
                </m:rPr>
                <m:t>⋆</m:t>
              </m:r>
            </m:sup>
          </m:sSup>
          <m:r>
            <m:rPr>
              <m:sty m:val="p"/>
            </m:rPr>
            <m:t>(</m:t>
          </m:r>
          <m:r>
            <m:t>α</m:t>
          </m:r>
          <m:r>
            <m:rPr>
              <m:sty m:val="p"/>
            </m:rPr>
            <m:t>)</m:t>
          </m:r>
          <m:r>
            <m:rPr>
              <m:sty m:val="p"/>
            </m:rPr>
            <m:t>=</m:t>
          </m:r>
          <m:r>
            <m:t>37</m:t>
          </m:r>
          <m:r>
            <m:t>α</m:t>
          </m:r>
          <m:r>
            <m:rPr>
              <m:sty m:val="p"/>
            </m:rPr>
            <m:t>.</m:t>
          </m:r>
        </m:oMath>
      </m:oMathPara>
    </w:p>
    <w:p>
      <w:pPr>
        <w:pStyle w:val="FirstParagraph"/>
      </w:pPr>
      <w:r>
        <w:t xml:space="preserve">Figure </w:t>
      </w:r>
      <w:hyperlink w:anchor="fig:degradation_trajectory">
        <w:r>
          <w:rPr>
            <w:rStyle w:val="Hyperlink"/>
          </w:rPr>
          <w:t xml:space="preserve">12</w:t>
        </w:r>
      </w:hyperlink>
      <w:r>
        <w:t xml:space="preserve"> </w:t>
      </w:r>
      <w:r>
        <w:t xml:space="preserve">shows that the two curves coincide point-for-point for the tested values of</w:t>
      </w:r>
      <w:r>
        <w:t xml:space="preserve"> </w:t>
      </w:r>
      <m:oMath>
        <m:r>
          <m:t>α</m:t>
        </m:r>
      </m:oMath>
      <w:r>
        <w:t xml:space="preserve">. This indicates that the structural differences between the configurations do not alter the global response to network-wide proportional degradation.</w:t>
      </w:r>
    </w:p>
    <w:bookmarkStart w:id="79" w:name="fig:degradation_trajectory"/>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Throughput degradation trajectory under uniform capacity scaling for Configurations A and B.</w:t>
      </w:r>
    </w:p>
    <w:bookmarkEnd w:id="79"/>
    <w:p>
      <w:pPr>
        <w:pStyle w:val="BodyText"/>
      </w:pPr>
      <w:r>
        <w:t xml:space="preserve">The parametric threshold analysis, however, distinguishes the two networks much more sharply. In Configuration A, the gateway-to-combiner edges are upgrade-ineffective: increasing their capacities does not raise</w:t>
      </w:r>
      <w:r>
        <w:t xml:space="preserve"> </w:t>
      </w:r>
      <m:oMath>
        <m:sSup>
          <m:e>
            <m:r>
              <m:t>F</m:t>
            </m:r>
          </m:e>
          <m:sup>
            <m:r>
              <m:rPr>
                <m:sty m:val="p"/>
              </m:rPr>
              <m:t>⋆</m:t>
            </m:r>
          </m:sup>
        </m:sSup>
      </m:oMath>
      <w:r>
        <w:t xml:space="preserve">, because the upstream feeder structure already limits the inflow to those gateways. In Configuration B, the same edges become upgrade-effective, each requiring only a 1-unit increase to raise throughput. Degradation thresholds remain zero-margin in both cases, meaning that any reduction in those edge capacities immediately affects throughput.</w:t>
      </w:r>
    </w:p>
    <w:p>
      <w:pPr>
        <w:pStyle w:val="BodyText"/>
      </w:pPr>
      <w:r>
        <w:t xml:space="preserve">This difference is one of the clearest illustrations of the value of the toolkit. The same edge can be highly critical under failure and yet ineffective under upgrade, depending on how the surrounding network distributes residual capacity. A purely local or purely cut-based interpretation would miss this distinction.</w:t>
      </w:r>
    </w:p>
    <w:p>
      <w:pPr>
        <w:pStyle w:val="BodyText"/>
      </w:pPr>
      <w:r>
        <w:t xml:space="preserve">Table </w:t>
      </w:r>
      <w:hyperlink w:anchor="tab:parametric_comparison">
        <w:r>
          <w:rPr>
            <w:rStyle w:val="Hyperlink"/>
          </w:rPr>
          <w:t xml:space="preserve">2</w:t>
        </w:r>
      </w:hyperlink>
      <w:r>
        <w:t xml:space="preserve"> </w:t>
      </w:r>
      <w:r>
        <w:t xml:space="preserve">summarises this effect for the gateway and bypass edges.</w:t>
      </w:r>
    </w:p>
    <w:bookmarkStart w:id="80" w:name="tab:parametric_comparison"/>
    <w:p>
      <w:pPr>
        <w:pStyle w:val="TableCaption"/>
      </w:pPr>
      <w:r>
        <w:t xml:space="preserve">Parametric threshold and marginal-range comparison for selected edges.</w:t>
      </w:r>
    </w:p>
    <w:tbl>
      <w:tblPr>
        <w:tblStyle w:val="Table"/>
        <w:tblW w:type="auto" w:w="0"/>
        <w:tblLook w:firstRow="1" w:lastRow="0" w:firstColumn="0" w:lastColumn="0" w:noHBand="0" w:noVBand="0" w:val="0020"/>
        <w:tblCaption w:val="Parametric threshold and marginal-range comparison for selected edges."/>
      </w:tblPr>
      <w:tblGrid>
        <w:gridCol w:w="1584"/>
        <w:gridCol w:w="1584"/>
        <w:gridCol w:w="1584"/>
        <w:gridCol w:w="1584"/>
        <w:gridCol w:w="1584"/>
      </w:tblGrid>
      <w:tr>
        <w:trPr>
          <w:tblHeader w:val="on"/>
        </w:trPr>
        <w:tc>
          <w:tcPr/>
          <w:p>
            <w:pPr>
              <w:pStyle w:val="Compact"/>
              <w:jc w:val="left"/>
            </w:pPr>
            <w:r>
              <w:t xml:space="preserve">Edge</w:t>
            </w:r>
          </w:p>
        </w:tc>
        <w:tc>
          <w:tcPr>
            <w:gridSpan w:val="2"/>
          </w:tcPr>
          <w:p>
            <w:pPr>
              <w:pStyle w:val="Compact"/>
              <w:jc w:val="center"/>
            </w:pPr>
            <w:r>
              <w:t xml:space="preserve">Config A</w:t>
            </w:r>
          </w:p>
        </w:tc>
        <w:tc>
          <w:tcPr>
            <w:gridSpan w:val="2"/>
          </w:tcPr>
          <w:p>
            <w:pPr>
              <w:pStyle w:val="Compact"/>
              <w:jc w:val="center"/>
            </w:pPr>
            <w:r>
              <w:t xml:space="preserve">Config B</w:t>
            </w:r>
          </w:p>
        </w:tc>
      </w:tr>
      <w:tr>
        <w:tc>
          <w:tcPr/>
          <w:p>
            <w:pPr>
              <w:pStyle w:val="Compact"/>
              <w:jc w:val="left"/>
            </w:pPr>
            <w:r>
              <w:t xml:space="preserve">2-3</w:t>
            </w:r>
            <w:r>
              <w:t xml:space="preserve">(lr)</w:t>
            </w:r>
            <w:r>
              <w:t xml:space="preserve">4-5</w:t>
            </w:r>
          </w:p>
        </w:tc>
        <w:tc>
          <w:tcPr/>
          <w:p>
            <w:pPr>
              <w:pStyle w:val="Compact"/>
              <w:jc w:val="center"/>
            </w:pPr>
            <w:r>
              <w:t xml:space="preserve">Upgrade</w:t>
            </w:r>
          </w:p>
        </w:tc>
        <w:tc>
          <w:tcPr/>
          <w:p>
            <w:pPr>
              <w:pStyle w:val="Compact"/>
              <w:jc w:val="center"/>
            </w:pPr>
            <m:oMath>
              <m:sSub>
                <m:e>
                  <m:r>
                    <m:rPr>
                      <m:scr m:val="script"/>
                      <m:sty m:val="p"/>
                    </m:rPr>
                    <m:t>B</m:t>
                  </m:r>
                </m:e>
                <m:sub>
                  <m:r>
                    <m:t>u</m:t>
                  </m:r>
                  <m:r>
                    <m:t>v</m:t>
                  </m:r>
                </m:sub>
              </m:sSub>
            </m:oMath>
          </w:p>
        </w:tc>
        <w:tc>
          <w:tcPr/>
          <w:p>
            <w:pPr>
              <w:pStyle w:val="Compact"/>
              <w:jc w:val="center"/>
            </w:pPr>
            <w:r>
              <w:t xml:space="preserve">Upgrade</w:t>
            </w:r>
          </w:p>
        </w:tc>
        <w:tc>
          <w:tcPr/>
          <w:p>
            <w:pPr>
              <w:pStyle w:val="Compact"/>
              <w:jc w:val="center"/>
            </w:pPr>
            <m:oMath>
              <m:sSub>
                <m:e>
                  <m:r>
                    <m:rPr>
                      <m:scr m:val="script"/>
                      <m:sty m:val="p"/>
                    </m:rPr>
                    <m:t>B</m:t>
                  </m:r>
                </m:e>
                <m:sub>
                  <m:r>
                    <m:t>u</m:t>
                  </m:r>
                  <m:r>
                    <m:t>v</m:t>
                  </m:r>
                </m:sub>
              </m:sSub>
            </m:oMath>
          </w:p>
        </w:tc>
      </w:tr>
      <w:tr>
        <w:tc>
          <w:tcPr/>
          <w:p>
            <w:pPr>
              <w:pStyle w:val="Compact"/>
              <w:jc w:val="left"/>
            </w:pPr>
            <m:oMath>
              <m:r>
                <m:t>134</m:t>
              </m:r>
              <m:r>
                <m:rPr>
                  <m:sty m:val="p"/>
                </m:rPr>
                <m:t>→</m:t>
              </m:r>
              <m:r>
                <m:t>136</m:t>
              </m:r>
            </m:oMath>
          </w:p>
        </w:tc>
        <w:tc>
          <w:tcPr/>
          <w:p>
            <w:pPr>
              <w:pStyle w:val="Compact"/>
              <w:jc w:val="center"/>
            </w:pPr>
            <w:r>
              <w:t xml:space="preserve">ineffective</w:t>
            </w:r>
          </w:p>
        </w:tc>
        <w:tc>
          <w:tcPr/>
          <w:p>
            <w:pPr>
              <w:pStyle w:val="Compact"/>
              <w:jc w:val="center"/>
            </w:pPr>
            <w:r>
              <w:t xml:space="preserve">17.0</w:t>
            </w:r>
          </w:p>
        </w:tc>
        <w:tc>
          <w:tcPr/>
          <w:p>
            <w:pPr>
              <w:pStyle w:val="Compact"/>
              <w:jc w:val="center"/>
            </w:pPr>
            <m:oMath>
              <m:r>
                <m:rPr>
                  <m:sty m:val="p"/>
                </m:rPr>
                <m:t>+</m:t>
              </m:r>
              <m:r>
                <m:t>1.0</m:t>
              </m:r>
            </m:oMath>
          </w:p>
        </w:tc>
        <w:tc>
          <w:tcPr/>
          <w:p>
            <w:pPr>
              <w:pStyle w:val="Compact"/>
              <w:jc w:val="center"/>
            </w:pPr>
            <w:r>
              <w:t xml:space="preserve">23.0</w:t>
            </w:r>
          </w:p>
        </w:tc>
      </w:tr>
      <w:tr>
        <w:tc>
          <w:tcPr/>
          <w:p>
            <w:pPr>
              <w:pStyle w:val="Compact"/>
              <w:jc w:val="left"/>
            </w:pPr>
            <m:oMath>
              <m:r>
                <m:t>135</m:t>
              </m:r>
              <m:r>
                <m:rPr>
                  <m:sty m:val="p"/>
                </m:rPr>
                <m:t>→</m:t>
              </m:r>
              <m:r>
                <m:t>136</m:t>
              </m:r>
            </m:oMath>
          </w:p>
        </w:tc>
        <w:tc>
          <w:tcPr/>
          <w:p>
            <w:pPr>
              <w:pStyle w:val="Compact"/>
              <w:jc w:val="center"/>
            </w:pPr>
            <w:r>
              <w:t xml:space="preserve">ineffective</w:t>
            </w:r>
          </w:p>
        </w:tc>
        <w:tc>
          <w:tcPr/>
          <w:p>
            <w:pPr>
              <w:pStyle w:val="Compact"/>
              <w:jc w:val="center"/>
            </w:pPr>
            <w:r>
              <w:t xml:space="preserve">17.0</w:t>
            </w:r>
          </w:p>
        </w:tc>
        <w:tc>
          <w:tcPr/>
          <w:p>
            <w:pPr>
              <w:pStyle w:val="Compact"/>
              <w:jc w:val="center"/>
            </w:pPr>
            <m:oMath>
              <m:r>
                <m:rPr>
                  <m:sty m:val="p"/>
                </m:rPr>
                <m:t>+</m:t>
              </m:r>
              <m:r>
                <m:t>1.0</m:t>
              </m:r>
            </m:oMath>
          </w:p>
        </w:tc>
        <w:tc>
          <w:tcPr/>
          <w:p>
            <w:pPr>
              <w:pStyle w:val="Compact"/>
              <w:jc w:val="center"/>
            </w:pPr>
            <w:r>
              <w:t xml:space="preserve">23.0</w:t>
            </w:r>
          </w:p>
        </w:tc>
      </w:tr>
      <w:tr>
        <w:tc>
          <w:tcPr/>
          <w:p>
            <w:pPr>
              <w:pStyle w:val="Compact"/>
              <w:jc w:val="left"/>
            </w:pPr>
            <m:oMath>
              <m:r>
                <m:t>132</m:t>
              </m:r>
              <m:r>
                <m:rPr>
                  <m:sty m:val="p"/>
                </m:rPr>
                <m:t>→</m:t>
              </m:r>
              <m:r>
                <m:t>140</m:t>
              </m:r>
            </m:oMath>
          </w:p>
        </w:tc>
        <w:tc>
          <w:tcPr/>
          <w:p>
            <w:pPr>
              <w:pStyle w:val="Compact"/>
              <w:jc w:val="center"/>
            </w:pPr>
            <m:oMath>
              <m:r>
                <m:rPr>
                  <m:sty m:val="p"/>
                </m:rPr>
                <m:t>+</m:t>
              </m:r>
              <m:r>
                <m:t>1.0</m:t>
              </m:r>
            </m:oMath>
          </w:p>
        </w:tc>
        <w:tc>
          <w:tcPr/>
          <w:p>
            <w:pPr>
              <w:pStyle w:val="Compact"/>
              <w:jc w:val="center"/>
            </w:pPr>
            <w:r>
              <w:t xml:space="preserve">10.0</w:t>
            </w:r>
          </w:p>
        </w:tc>
        <w:tc>
          <w:tcPr/>
          <w:p>
            <w:pPr>
              <w:pStyle w:val="Compact"/>
              <w:jc w:val="center"/>
            </w:pPr>
            <m:oMath>
              <m:r>
                <m:rPr>
                  <m:sty m:val="p"/>
                </m:rPr>
                <m:t>+</m:t>
              </m:r>
              <m:r>
                <m:t>1.0</m:t>
              </m:r>
            </m:oMath>
          </w:p>
        </w:tc>
        <w:tc>
          <w:tcPr/>
          <w:p>
            <w:pPr>
              <w:pStyle w:val="Compact"/>
              <w:jc w:val="center"/>
            </w:pPr>
            <w:r>
              <w:t xml:space="preserve">16.0</w:t>
            </w:r>
          </w:p>
        </w:tc>
      </w:tr>
    </w:tbl>
    <w:bookmarkEnd w:id="80"/>
    <w:bookmarkEnd w:id="81"/>
    <w:bookmarkStart w:id="82" w:name="interpretation"/>
    <w:p>
      <w:pPr>
        <w:pStyle w:val="Heading2"/>
      </w:pPr>
      <w:r>
        <w:rPr>
          <w:rStyle w:val="SectionNumber"/>
        </w:rPr>
        <w:t xml:space="preserve">6.8</w:t>
      </w:r>
      <w:r>
        <w:tab/>
      </w:r>
      <w:r>
        <w:t xml:space="preserve">Interpretation</w:t>
      </w:r>
    </w:p>
    <w:p>
      <w:pPr>
        <w:pStyle w:val="FirstParagraph"/>
      </w:pPr>
      <w:r>
        <w:t xml:space="preserve">The benchmark demonstrates that a baseline throughput value by itself is often insufficient for engineering comparison. The two configurations analysed here have the same maximum flow, the same node-capacitated throughput, and the same uniform degradation trajectory, yet differ substantially in:</w:t>
      </w:r>
    </w:p>
    <w:p>
      <w:pPr>
        <w:numPr>
          <w:ilvl w:val="0"/>
          <w:numId w:val="1016"/>
        </w:numPr>
      </w:pPr>
      <w:r>
        <w:t xml:space="preserve">cut degeneracy,</w:t>
      </w:r>
    </w:p>
    <w:p>
      <w:pPr>
        <w:numPr>
          <w:ilvl w:val="0"/>
          <w:numId w:val="1016"/>
        </w:numPr>
      </w:pPr>
      <w:r>
        <w:t xml:space="preserve">sensitivity concentration,</w:t>
      </w:r>
    </w:p>
    <w:p>
      <w:pPr>
        <w:numPr>
          <w:ilvl w:val="0"/>
          <w:numId w:val="1016"/>
        </w:numPr>
      </w:pPr>
      <w:r>
        <w:t xml:space="preserve">robustness to feeder-edge failures,</w:t>
      </w:r>
    </w:p>
    <w:p>
      <w:pPr>
        <w:numPr>
          <w:ilvl w:val="0"/>
          <w:numId w:val="1016"/>
        </w:numPr>
      </w:pPr>
      <w:r>
        <w:t xml:space="preserve">effectiveness of gateway upgrades.</w:t>
      </w:r>
    </w:p>
    <w:p>
      <w:pPr>
        <w:pStyle w:val="FirstParagraph"/>
      </w:pPr>
      <w:r>
        <w:t xml:space="preserve">These distinctions are precisely the ones that motivate the toolkit. The baseline max-flow solve provides the throughput level, but the derived modules explain</w:t>
      </w:r>
      <w:r>
        <w:t xml:space="preserve"> </w:t>
      </w:r>
      <w:r>
        <w:rPr>
          <w:i/>
          <w:iCs/>
        </w:rPr>
        <w:t xml:space="preserve">why</w:t>
      </w:r>
      <w:r>
        <w:t xml:space="preserve"> </w:t>
      </w:r>
      <w:r>
        <w:t xml:space="preserve">that throughput occurs,</w:t>
      </w:r>
      <w:r>
        <w:t xml:space="preserve"> </w:t>
      </w:r>
      <w:r>
        <w:rPr>
          <w:i/>
          <w:iCs/>
        </w:rPr>
        <w:t xml:space="preserve">how</w:t>
      </w:r>
      <w:r>
        <w:t xml:space="preserve"> </w:t>
      </w:r>
      <w:r>
        <w:t xml:space="preserve">it may fail, and</w:t>
      </w:r>
      <w:r>
        <w:t xml:space="preserve"> </w:t>
      </w:r>
      <w:r>
        <w:rPr>
          <w:i/>
          <w:iCs/>
        </w:rPr>
        <w:t xml:space="preserve">which</w:t>
      </w:r>
      <w:r>
        <w:t xml:space="preserve"> </w:t>
      </w:r>
      <w:r>
        <w:t xml:space="preserve">interventions are likely to be effective.</w:t>
      </w:r>
    </w:p>
    <w:bookmarkEnd w:id="82"/>
    <w:bookmarkEnd w:id="83"/>
    <w:bookmarkStart w:id="86" w:name="conclusions"/>
    <w:p>
      <w:pPr>
        <w:pStyle w:val="Heading1"/>
      </w:pPr>
      <w:r>
        <w:rPr>
          <w:rStyle w:val="SectionNumber"/>
        </w:rPr>
        <w:t xml:space="preserve">7</w:t>
      </w:r>
      <w:r>
        <w:tab/>
      </w:r>
      <w:r>
        <w:t xml:space="preserve">Conclusions</w:t>
      </w:r>
    </w:p>
    <w:p>
      <w:pPr>
        <w:pStyle w:val="FirstParagraph"/>
      </w:pPr>
      <w:r>
        <w:t xml:space="preserve">This paper has presented a computational framework for reachability and flow diagnostics in directed acyclic networks. The main contribution is not the introduction of new max-flow theory, but the development of a unified implementation that combines exact reachability analysis from the Information Propagation Framework with classical flow optimisation and a set of derived diagnostic modules on a shared graph representation.</w:t>
      </w:r>
    </w:p>
    <w:p>
      <w:pPr>
        <w:pStyle w:val="BodyText"/>
      </w:pPr>
      <w:r>
        <w:t xml:space="preserve">The framework supports both structural and throughput-based analysis within a single computational layer. In particular, it combines exact reachability propagation, maximum-flow computation, minimum-cut diagnostics, structural fragility assessment, sensitivity analysis, failure-impact evaluation, and parametric threshold analysis. A key feature of the implementation is the use of a common preprocessed DAG object, together with automatic super-terminal reduction and node-splitting transformations where required. This allows multiple analytical queries to be evaluated consistently without repeated graph reconstruction or solver-specific preprocessing.</w:t>
      </w:r>
    </w:p>
    <w:p>
      <w:pPr>
        <w:pStyle w:val="BodyText"/>
      </w:pPr>
      <w:r>
        <w:t xml:space="preserve">The synthetic benchmark study demonstrates the practical value of this integration. Although the two benchmark configurations considered in the case study produce the same maximum throughput, they differ markedly in bottleneck structure, cut degeneracy, sensitivity concentration, and upgrade effectiveness. These results show that baseline throughput alone is often insufficient for engineering comparison and decision support. The broader value of the framework lies in its ability to explain not only how much flow a network can deliver, but also why that level of performance arises, which components govern it, and how it responds to failure, degradation, and targeted intervention.</w:t>
      </w:r>
    </w:p>
    <w:p>
      <w:pPr>
        <w:pStyle w:val="BodyText"/>
      </w:pPr>
      <w:r>
        <w:t xml:space="preserve">More generally, the paper highlights that reachability and throughput should be treated as complementary but distinct performance measures in directed acyclic infrastructure models. Reachability characterises the existence of viable paths under uncertainty, whereas flow analysis quantifies the level of service that can be delivered under active capacity constraints. Bringing these perspectives together within one computational framework provides a more complete basis for design comparison, bottleneck diagnosis, vulnerability assessment, and service-margin analysis.</w:t>
      </w:r>
    </w:p>
    <w:p>
      <w:pPr>
        <w:pStyle w:val="BodyText"/>
      </w:pPr>
      <w:r>
        <w:t xml:space="preserve">Future work will focus on extending the framework beyond fixed-capacity deterministic instances, including tighter coupling between probabilistic reachability and flow, treatment of time-dependent degradation processes, and integration with higher-level software environments for interactive engineering analysis and decision support.</w:t>
      </w:r>
    </w:p>
    <w:p>
      <w:pPr>
        <w:pStyle w:val="BodyText"/>
      </w:pPr>
      <w:r>
        <w:t xml:space="preserve">99</w:t>
      </w:r>
    </w:p>
    <w:p>
      <w:pPr>
        <w:pStyle w:val="BodyText"/>
      </w:pPr>
      <w:r>
        <w:t xml:space="preserve">Ahuja, R.K., Magnanti, T.L., Orlin, J.B. (1993).</w:t>
      </w:r>
      <w:r>
        <w:t xml:space="preserve"> </w:t>
      </w:r>
      <w:r>
        <w:rPr>
          <w:i/>
          <w:iCs/>
        </w:rPr>
        <w:t xml:space="preserve">Network Flows: Theory, Algorithms, and Applications</w:t>
      </w:r>
      <w:r>
        <w:t xml:space="preserve">. Prentice Hall, Englewood Cliffs, NJ.</w:t>
      </w:r>
    </w:p>
    <w:p>
      <w:pPr>
        <w:pStyle w:val="BodyText"/>
      </w:pPr>
      <w:r>
        <w:t xml:space="preserve">Birnbaum, Z.W. (1969). On the importance of different components in a multicomponent system. In P.R. Krishnaiah (Ed.),</w:t>
      </w:r>
      <w:r>
        <w:t xml:space="preserve"> </w:t>
      </w:r>
      <w:r>
        <w:rPr>
          <w:i/>
          <w:iCs/>
        </w:rPr>
        <w:t xml:space="preserve">Multivariate Analysis II</w:t>
      </w:r>
      <w:r>
        <w:t xml:space="preserve">, pp. 581–592. Academic Press, New York. DOI: 10.21236/AD0670563.</w:t>
      </w:r>
    </w:p>
    <w:p>
      <w:pPr>
        <w:pStyle w:val="BodyText"/>
      </w:pPr>
      <w:r>
        <w:t xml:space="preserve">Dinic, E.A. (1970). Algorithm for solution of a problem of maximum flow in a network with power estimation.</w:t>
      </w:r>
      <w:r>
        <w:t xml:space="preserve"> </w:t>
      </w:r>
      <w:r>
        <w:rPr>
          <w:i/>
          <w:iCs/>
        </w:rPr>
        <w:t xml:space="preserve">Soviet Mathematics Doklady</w:t>
      </w:r>
      <w:r>
        <w:t xml:space="preserve">, 11, 1277–1280.</w:t>
      </w:r>
    </w:p>
    <w:p>
      <w:pPr>
        <w:pStyle w:val="BodyText"/>
      </w:pPr>
      <w:r>
        <w:t xml:space="preserve">Edmonds, J., Karp, R.M. (1972). Theoretical improvements in algorithmic efficiency for network flow problems.</w:t>
      </w:r>
      <w:r>
        <w:t xml:space="preserve"> </w:t>
      </w:r>
      <w:r>
        <w:rPr>
          <w:i/>
          <w:iCs/>
        </w:rPr>
        <w:t xml:space="preserve">Journal of the ACM</w:t>
      </w:r>
      <w:r>
        <w:t xml:space="preserve">, 19(2), 248–264. DOI: 10.1145/321694.321699.</w:t>
      </w:r>
    </w:p>
    <w:p>
      <w:pPr>
        <w:pStyle w:val="BodyText"/>
      </w:pPr>
      <w:r>
        <w:t xml:space="preserve">Ford, L.R., Fulkerson, D.R. (1956). Maximal flow through a network.</w:t>
      </w:r>
      <w:r>
        <w:t xml:space="preserve"> </w:t>
      </w:r>
      <w:r>
        <w:rPr>
          <w:i/>
          <w:iCs/>
        </w:rPr>
        <w:t xml:space="preserve">Canadian Journal of Mathematics</w:t>
      </w:r>
      <w:r>
        <w:t xml:space="preserve">, 8, 399–404. DOI: 10.4153/CJM-1956-045-5.</w:t>
      </w:r>
    </w:p>
    <w:p>
      <w:pPr>
        <w:pStyle w:val="BodyText"/>
      </w:pPr>
      <w:r>
        <w:t xml:space="preserve">Ford, L.R., Fulkerson, D.R. (1962).</w:t>
      </w:r>
      <w:r>
        <w:t xml:space="preserve"> </w:t>
      </w:r>
      <w:r>
        <w:rPr>
          <w:i/>
          <w:iCs/>
        </w:rPr>
        <w:t xml:space="preserve">Flows in Networks</w:t>
      </w:r>
      <w:r>
        <w:t xml:space="preserve">. Princeton University Press, Princeton, NJ.</w:t>
      </w:r>
    </w:p>
    <w:p>
      <w:pPr>
        <w:pStyle w:val="BodyText"/>
      </w:pPr>
      <w:r>
        <w:t xml:space="preserve">Gallo, G., Grigoriadis, M.D., Tarjan, R.E. (1989). A fast parametric maximum flow algorithm and applications.</w:t>
      </w:r>
      <w:r>
        <w:t xml:space="preserve"> </w:t>
      </w:r>
      <w:r>
        <w:rPr>
          <w:i/>
          <w:iCs/>
        </w:rPr>
        <w:t xml:space="preserve">SIAM Journal on Computing</w:t>
      </w:r>
      <w:r>
        <w:t xml:space="preserve">, 18(1), 30–55. DOI: 10.1137/0218003.</w:t>
      </w:r>
    </w:p>
    <w:p>
      <w:pPr>
        <w:pStyle w:val="BodyText"/>
      </w:pPr>
      <w:r>
        <w:t xml:space="preserve">Goldberg, A.V., Tarjan, R.E. (1988). A new approach to the maximum-flow problem.</w:t>
      </w:r>
      <w:r>
        <w:t xml:space="preserve"> </w:t>
      </w:r>
      <w:r>
        <w:rPr>
          <w:i/>
          <w:iCs/>
        </w:rPr>
        <w:t xml:space="preserve">Journal of the ACM</w:t>
      </w:r>
      <w:r>
        <w:t xml:space="preserve">, 35(4), 921–940. DOI: 10.1145/48014.61051.</w:t>
      </w:r>
    </w:p>
    <w:p>
      <w:pPr>
        <w:pStyle w:val="BodyText"/>
      </w:pPr>
      <w:r>
        <w:t xml:space="preserve">Hao, J.X., Orlin, J.B. (1994). A faster algorithm for finding the minimum cut in a directed graph.</w:t>
      </w:r>
      <w:r>
        <w:t xml:space="preserve"> </w:t>
      </w:r>
      <w:r>
        <w:rPr>
          <w:i/>
          <w:iCs/>
        </w:rPr>
        <w:t xml:space="preserve">Journal of Algorithms</w:t>
      </w:r>
      <w:r>
        <w:t xml:space="preserve">, 17(3), 424–446. DOI: 10.1006/jagm.1994.1043.</w:t>
      </w:r>
    </w:p>
    <w:p>
      <w:pPr>
        <w:pStyle w:val="BodyText"/>
      </w:pPr>
      <w:r>
        <w:t xml:space="preserve">Menger, K. (1927). Zur allgemeinen Kurventheorie.</w:t>
      </w:r>
      <w:r>
        <w:t xml:space="preserve"> </w:t>
      </w:r>
      <w:r>
        <w:rPr>
          <w:i/>
          <w:iCs/>
        </w:rPr>
        <w:t xml:space="preserve">Fundamenta Mathematicae</w:t>
      </w:r>
      <w:r>
        <w:t xml:space="preserve">, 10, 96–115. DOI: 10.4064/fm-10-1-96-115.</w:t>
      </w:r>
    </w:p>
    <w:p>
      <w:pPr>
        <w:pStyle w:val="BodyText"/>
      </w:pPr>
      <w:r>
        <w:t xml:space="preserve">Picard, J.-C., Queyranne, M. (1982). A network flow solution to some nonlinear 0–1 programming problems, with applications to graph theory.</w:t>
      </w:r>
      <w:r>
        <w:t xml:space="preserve"> </w:t>
      </w:r>
      <w:r>
        <w:rPr>
          <w:i/>
          <w:iCs/>
        </w:rPr>
        <w:t xml:space="preserve">Networks</w:t>
      </w:r>
      <w:r>
        <w:t xml:space="preserve">, 12(2), 141–159. DOI: 10.1002/net.3230120206.</w:t>
      </w:r>
    </w:p>
    <w:p>
      <w:pPr>
        <w:pStyle w:val="BodyText"/>
      </w:pPr>
      <w:r>
        <w:t xml:space="preserve">Whitney, H. (1932). Congruent graphs and the connectivity of graphs.</w:t>
      </w:r>
      <w:r>
        <w:t xml:space="preserve"> </w:t>
      </w:r>
      <w:r>
        <w:rPr>
          <w:i/>
          <w:iCs/>
        </w:rPr>
        <w:t xml:space="preserve">American Journal of Mathematics</w:t>
      </w:r>
      <w:r>
        <w:t xml:space="preserve">, 54(1), 150–168. DOI: 10.2307/2371086.</w:t>
      </w:r>
    </w:p>
    <w:bookmarkStart w:id="84" w:name="tab:critical_edges_config_a_appendix"/>
    <w:p>
      <w:pPr>
        <w:pStyle w:val="TableCaption"/>
      </w:pPr>
      <w:r>
        <w:t xml:space="preserve">Full ranked single-edge sensitivity results for Configuration A (all non-zero</w:t>
      </w:r>
      <w:r>
        <w:t xml:space="preserve"> </w:t>
      </w:r>
      <m:oMath>
        <m:r>
          <m:rPr>
            <m:sty m:val="p"/>
          </m:rPr>
          <m:t>Δ</m:t>
        </m:r>
        <m:sSup>
          <m:e>
            <m:r>
              <m:t>F</m:t>
            </m:r>
          </m:e>
          <m:sup>
            <m:r>
              <m:rPr>
                <m:sty m:val="p"/>
              </m:rPr>
              <m:t>*</m:t>
            </m:r>
          </m:sup>
        </m:sSup>
      </m:oMath>
      <w:r>
        <w:t xml:space="preserve"> </w:t>
      </w:r>
      <w:r>
        <w:t xml:space="preserve">edges).</w:t>
      </w:r>
    </w:p>
    <w:tbl>
      <w:tblPr>
        <w:tblStyle w:val="Table"/>
        <w:tblW w:type="auto" w:w="0"/>
        <w:tblLook w:firstRow="1" w:lastRow="0" w:firstColumn="0" w:lastColumn="0" w:noHBand="0" w:noVBand="0" w:val="0020"/>
        <w:tblCaption w:val="Full ranked single-edge sensitivity results for Configuration A (all non-zero \Delta F^* edges)."/>
      </w:tblPr>
      <w:tblGrid>
        <w:gridCol w:w="1980"/>
        <w:gridCol w:w="1980"/>
        <w:gridCol w:w="1980"/>
        <w:gridCol w:w="1980"/>
      </w:tblGrid>
      <w:tr>
        <w:trPr>
          <w:tblHeader w:val="on"/>
        </w:trPr>
        <w:tc>
          <w:tcPr/>
          <w:p>
            <w:pPr>
              <w:pStyle w:val="Compact"/>
              <w:jc w:val="left"/>
            </w:pPr>
            <w:r>
              <w:t xml:space="preserve">Rank</w:t>
            </w:r>
          </w:p>
        </w:tc>
        <w:tc>
          <w:tcPr/>
          <w:p>
            <w:pPr>
              <w:pStyle w:val="Compact"/>
              <w:jc w:val="center"/>
            </w:pPr>
            <w:r>
              <w:t xml:space="preserve">Label</w:t>
            </w:r>
          </w:p>
        </w:tc>
        <w:tc>
          <w:tcPr/>
          <w:p>
            <w:pPr>
              <w:pStyle w:val="Compact"/>
              <w:jc w:val="center"/>
            </w:pPr>
            <m:oMath>
              <m:r>
                <m:rPr>
                  <m:sty m:val="p"/>
                </m:rPr>
                <m:t>Δ</m:t>
              </m:r>
              <m:sSup>
                <m:e>
                  <m:r>
                    <m:t>F</m:t>
                  </m:r>
                </m:e>
                <m:sup>
                  <m:r>
                    <m:rPr>
                      <m:sty m:val="p"/>
                    </m:rPr>
                    <m:t>*</m:t>
                  </m:r>
                </m:sup>
              </m:sSup>
            </m:oMath>
          </w:p>
        </w:tc>
        <w:tc>
          <w:tcPr/>
          <w:p>
            <w:pPr>
              <w:pStyle w:val="Compact"/>
              <w:jc w:val="center"/>
            </w:pPr>
            <w:r>
              <w:rPr>
                <w:rStyle w:val="VerbatimChar"/>
              </w:rPr>
              <w:t xml:space="preserve">perturbed_flow</w:t>
            </w:r>
          </w:p>
        </w:tc>
      </w:tr>
      <w:tr>
        <w:tc>
          <w:tcPr/>
          <w:p>
            <w:pPr>
              <w:pStyle w:val="Compact"/>
              <w:jc w:val="left"/>
            </w:pPr>
            <w:r>
              <w:t xml:space="preserve">1</w:t>
            </w:r>
          </w:p>
        </w:tc>
        <w:tc>
          <w:tcPr/>
          <w:p>
            <w:pPr>
              <w:pStyle w:val="Compact"/>
              <w:jc w:val="center"/>
            </w:pPr>
            <w:r>
              <w:rPr>
                <w:rStyle w:val="VerbatimChar"/>
              </w:rPr>
              <w:t xml:space="preserve">dispatch_gateway_west-&gt;distribution_combiner</w:t>
            </w:r>
          </w:p>
        </w:tc>
        <w:tc>
          <w:tcPr/>
          <w:p>
            <w:pPr>
              <w:pStyle w:val="Compact"/>
              <w:jc w:val="center"/>
            </w:pPr>
            <w:r>
              <w:t xml:space="preserve">17.0</w:t>
            </w:r>
          </w:p>
        </w:tc>
        <w:tc>
          <w:tcPr/>
          <w:p>
            <w:pPr>
              <w:pStyle w:val="Compact"/>
              <w:jc w:val="center"/>
            </w:pPr>
            <w:r>
              <w:t xml:space="preserve">20.0</w:t>
            </w:r>
          </w:p>
        </w:tc>
      </w:tr>
      <w:tr>
        <w:tc>
          <w:tcPr/>
          <w:p>
            <w:pPr>
              <w:pStyle w:val="Compact"/>
              <w:jc w:val="left"/>
            </w:pPr>
            <w:r>
              <w:t xml:space="preserve">2</w:t>
            </w:r>
          </w:p>
        </w:tc>
        <w:tc>
          <w:tcPr/>
          <w:p>
            <w:pPr>
              <w:pStyle w:val="Compact"/>
              <w:jc w:val="center"/>
            </w:pPr>
            <w:r>
              <w:rPr>
                <w:rStyle w:val="VerbatimChar"/>
              </w:rPr>
              <w:t xml:space="preserve">dispatch_gateway_east-&gt;distribution_combiner</w:t>
            </w:r>
          </w:p>
        </w:tc>
        <w:tc>
          <w:tcPr/>
          <w:p>
            <w:pPr>
              <w:pStyle w:val="Compact"/>
              <w:jc w:val="center"/>
            </w:pPr>
            <w:r>
              <w:t xml:space="preserve">17.0</w:t>
            </w:r>
          </w:p>
        </w:tc>
        <w:tc>
          <w:tcPr/>
          <w:p>
            <w:pPr>
              <w:pStyle w:val="Compact"/>
              <w:jc w:val="center"/>
            </w:pPr>
            <w:r>
              <w:t xml:space="preserve">20.0</w:t>
            </w:r>
          </w:p>
        </w:tc>
      </w:tr>
      <w:tr>
        <w:tc>
          <w:tcPr/>
          <w:p>
            <w:pPr>
              <w:pStyle w:val="Compact"/>
              <w:jc w:val="left"/>
            </w:pPr>
            <w:r>
              <w:t xml:space="preserve">3</w:t>
            </w:r>
          </w:p>
        </w:tc>
        <w:tc>
          <w:tcPr/>
          <w:p>
            <w:pPr>
              <w:pStyle w:val="Compact"/>
              <w:jc w:val="center"/>
            </w:pPr>
            <w:r>
              <w:rPr>
                <w:rStyle w:val="VerbatimChar"/>
              </w:rPr>
              <w:t xml:space="preserve">secondary_a-&gt;dispatch_gateway_west</w:t>
            </w:r>
          </w:p>
        </w:tc>
        <w:tc>
          <w:tcPr/>
          <w:p>
            <w:pPr>
              <w:pStyle w:val="Compact"/>
              <w:jc w:val="center"/>
            </w:pPr>
            <w:r>
              <w:t xml:space="preserve">4.0</w:t>
            </w:r>
          </w:p>
        </w:tc>
        <w:tc>
          <w:tcPr/>
          <w:p>
            <w:pPr>
              <w:pStyle w:val="Compact"/>
              <w:jc w:val="center"/>
            </w:pPr>
            <w:r>
              <w:t xml:space="preserve">33.0</w:t>
            </w:r>
          </w:p>
        </w:tc>
      </w:tr>
      <w:tr>
        <w:tc>
          <w:tcPr/>
          <w:p>
            <w:pPr>
              <w:pStyle w:val="Compact"/>
              <w:jc w:val="left"/>
            </w:pPr>
            <w:r>
              <w:t xml:space="preserve">4</w:t>
            </w:r>
          </w:p>
        </w:tc>
        <w:tc>
          <w:tcPr/>
          <w:p>
            <w:pPr>
              <w:pStyle w:val="Compact"/>
              <w:jc w:val="center"/>
            </w:pPr>
            <w:r>
              <w:rPr>
                <w:rStyle w:val="VerbatimChar"/>
              </w:rPr>
              <w:t xml:space="preserve">secondary_c-&gt;dispatch_gateway_east</w:t>
            </w:r>
          </w:p>
        </w:tc>
        <w:tc>
          <w:tcPr/>
          <w:p>
            <w:pPr>
              <w:pStyle w:val="Compact"/>
              <w:jc w:val="center"/>
            </w:pPr>
            <w:r>
              <w:t xml:space="preserve">4.0</w:t>
            </w:r>
          </w:p>
        </w:tc>
        <w:tc>
          <w:tcPr/>
          <w:p>
            <w:pPr>
              <w:pStyle w:val="Compact"/>
              <w:jc w:val="center"/>
            </w:pPr>
            <w:r>
              <w:t xml:space="preserve">33.0</w:t>
            </w:r>
          </w:p>
        </w:tc>
      </w:tr>
      <w:tr>
        <w:tc>
          <w:tcPr/>
          <w:p>
            <w:pPr>
              <w:pStyle w:val="Compact"/>
              <w:jc w:val="left"/>
            </w:pPr>
            <w:r>
              <w:t xml:space="preserve">5</w:t>
            </w:r>
          </w:p>
        </w:tc>
        <w:tc>
          <w:tcPr/>
          <w:p>
            <w:pPr>
              <w:pStyle w:val="Compact"/>
              <w:jc w:val="center"/>
            </w:pPr>
            <w:r>
              <w:rPr>
                <w:rStyle w:val="VerbatimChar"/>
              </w:rPr>
              <w:t xml:space="preserve">secondary_d-&gt;dispatch_gateway_west</w:t>
            </w:r>
          </w:p>
        </w:tc>
        <w:tc>
          <w:tcPr/>
          <w:p>
            <w:pPr>
              <w:pStyle w:val="Compact"/>
              <w:jc w:val="center"/>
            </w:pPr>
            <w:r>
              <w:t xml:space="preserve">4.0</w:t>
            </w:r>
          </w:p>
        </w:tc>
        <w:tc>
          <w:tcPr/>
          <w:p>
            <w:pPr>
              <w:pStyle w:val="Compact"/>
              <w:jc w:val="center"/>
            </w:pPr>
            <w:r>
              <w:t xml:space="preserve">33.0</w:t>
            </w:r>
          </w:p>
        </w:tc>
      </w:tr>
      <w:tr>
        <w:tc>
          <w:tcPr/>
          <w:p>
            <w:pPr>
              <w:pStyle w:val="Compact"/>
              <w:jc w:val="left"/>
            </w:pPr>
            <w:r>
              <w:t xml:space="preserve">6</w:t>
            </w:r>
          </w:p>
        </w:tc>
        <w:tc>
          <w:tcPr/>
          <w:p>
            <w:pPr>
              <w:pStyle w:val="Compact"/>
              <w:jc w:val="center"/>
            </w:pPr>
            <w:r>
              <w:rPr>
                <w:rStyle w:val="VerbatimChar"/>
              </w:rPr>
              <w:t xml:space="preserve">secondary_f-&gt;dispatch_gateway_east</w:t>
            </w:r>
          </w:p>
        </w:tc>
        <w:tc>
          <w:tcPr/>
          <w:p>
            <w:pPr>
              <w:pStyle w:val="Compact"/>
              <w:jc w:val="center"/>
            </w:pPr>
            <w:r>
              <w:t xml:space="preserve">4.0</w:t>
            </w:r>
          </w:p>
        </w:tc>
        <w:tc>
          <w:tcPr/>
          <w:p>
            <w:pPr>
              <w:pStyle w:val="Compact"/>
              <w:jc w:val="center"/>
            </w:pPr>
            <w:r>
              <w:t xml:space="preserve">33.0</w:t>
            </w:r>
          </w:p>
        </w:tc>
      </w:tr>
      <w:tr>
        <w:tc>
          <w:tcPr/>
          <w:p>
            <w:pPr>
              <w:pStyle w:val="Compact"/>
              <w:jc w:val="left"/>
            </w:pPr>
            <w:r>
              <w:t xml:space="preserve">7</w:t>
            </w:r>
          </w:p>
        </w:tc>
        <w:tc>
          <w:tcPr/>
          <w:p>
            <w:pPr>
              <w:pStyle w:val="Compact"/>
              <w:jc w:val="center"/>
            </w:pPr>
            <w:r>
              <w:rPr>
                <w:rStyle w:val="VerbatimChar"/>
              </w:rPr>
              <w:t xml:space="preserve">secondary_b-&gt;dispatch_gateway_west</w:t>
            </w:r>
          </w:p>
        </w:tc>
        <w:tc>
          <w:tcPr/>
          <w:p>
            <w:pPr>
              <w:pStyle w:val="Compact"/>
              <w:jc w:val="center"/>
            </w:pPr>
            <w:r>
              <w:t xml:space="preserve">3.0</w:t>
            </w:r>
          </w:p>
        </w:tc>
        <w:tc>
          <w:tcPr/>
          <w:p>
            <w:pPr>
              <w:pStyle w:val="Compact"/>
              <w:jc w:val="center"/>
            </w:pPr>
            <w:r>
              <w:t xml:space="preserve">34.0</w:t>
            </w:r>
          </w:p>
        </w:tc>
      </w:tr>
      <w:tr>
        <w:tc>
          <w:tcPr/>
          <w:p>
            <w:pPr>
              <w:pStyle w:val="Compact"/>
              <w:jc w:val="left"/>
            </w:pPr>
            <w:r>
              <w:t xml:space="preserve">8</w:t>
            </w:r>
          </w:p>
        </w:tc>
        <w:tc>
          <w:tcPr/>
          <w:p>
            <w:pPr>
              <w:pStyle w:val="Compact"/>
              <w:jc w:val="center"/>
            </w:pPr>
            <w:r>
              <w:rPr>
                <w:rStyle w:val="VerbatimChar"/>
              </w:rPr>
              <w:t xml:space="preserve">secondary_b-&gt;dispatch_gateway_east</w:t>
            </w:r>
          </w:p>
        </w:tc>
        <w:tc>
          <w:tcPr/>
          <w:p>
            <w:pPr>
              <w:pStyle w:val="Compact"/>
              <w:jc w:val="center"/>
            </w:pPr>
            <w:r>
              <w:t xml:space="preserve">3.0</w:t>
            </w:r>
          </w:p>
        </w:tc>
        <w:tc>
          <w:tcPr/>
          <w:p>
            <w:pPr>
              <w:pStyle w:val="Compact"/>
              <w:jc w:val="center"/>
            </w:pPr>
            <w:r>
              <w:t xml:space="preserve">34.0</w:t>
            </w:r>
          </w:p>
        </w:tc>
      </w:tr>
      <w:tr>
        <w:tc>
          <w:tcPr/>
          <w:p>
            <w:pPr>
              <w:pStyle w:val="Compact"/>
              <w:jc w:val="left"/>
            </w:pPr>
            <w:r>
              <w:t xml:space="preserve">9</w:t>
            </w:r>
          </w:p>
        </w:tc>
        <w:tc>
          <w:tcPr/>
          <w:p>
            <w:pPr>
              <w:pStyle w:val="Compact"/>
              <w:jc w:val="center"/>
            </w:pPr>
            <w:r>
              <w:rPr>
                <w:rStyle w:val="VerbatimChar"/>
              </w:rPr>
              <w:t xml:space="preserve">secondary_e-&gt;dispatch_gateway_west</w:t>
            </w:r>
          </w:p>
        </w:tc>
        <w:tc>
          <w:tcPr/>
          <w:p>
            <w:pPr>
              <w:pStyle w:val="Compact"/>
              <w:jc w:val="center"/>
            </w:pPr>
            <w:r>
              <w:t xml:space="preserve">3.0</w:t>
            </w:r>
          </w:p>
        </w:tc>
        <w:tc>
          <w:tcPr/>
          <w:p>
            <w:pPr>
              <w:pStyle w:val="Compact"/>
              <w:jc w:val="center"/>
            </w:pPr>
            <w:r>
              <w:t xml:space="preserve">34.0</w:t>
            </w:r>
          </w:p>
        </w:tc>
      </w:tr>
      <w:tr>
        <w:tc>
          <w:tcPr/>
          <w:p>
            <w:pPr>
              <w:pStyle w:val="Compact"/>
              <w:jc w:val="left"/>
            </w:pPr>
            <w:r>
              <w:t xml:space="preserve">10</w:t>
            </w:r>
          </w:p>
        </w:tc>
        <w:tc>
          <w:tcPr/>
          <w:p>
            <w:pPr>
              <w:pStyle w:val="Compact"/>
              <w:jc w:val="center"/>
            </w:pPr>
            <w:r>
              <w:rPr>
                <w:rStyle w:val="VerbatimChar"/>
              </w:rPr>
              <w:t xml:space="preserve">secondary_e-&gt;dispatch_gateway_east</w:t>
            </w:r>
          </w:p>
        </w:tc>
        <w:tc>
          <w:tcPr/>
          <w:p>
            <w:pPr>
              <w:pStyle w:val="Compact"/>
              <w:jc w:val="center"/>
            </w:pPr>
            <w:r>
              <w:t xml:space="preserve">3.0</w:t>
            </w:r>
          </w:p>
        </w:tc>
        <w:tc>
          <w:tcPr/>
          <w:p>
            <w:pPr>
              <w:pStyle w:val="Compact"/>
              <w:jc w:val="center"/>
            </w:pPr>
            <w:r>
              <w:t xml:space="preserve">34.0</w:t>
            </w:r>
          </w:p>
        </w:tc>
      </w:tr>
      <w:tr>
        <w:tc>
          <w:tcPr/>
          <w:p>
            <w:pPr>
              <w:pStyle w:val="Compact"/>
              <w:jc w:val="left"/>
            </w:pPr>
            <w:r>
              <w:t xml:space="preserve">11</w:t>
            </w:r>
          </w:p>
        </w:tc>
        <w:tc>
          <w:tcPr/>
          <w:p>
            <w:pPr>
              <w:pStyle w:val="Compact"/>
              <w:jc w:val="center"/>
            </w:pPr>
            <w:r>
              <w:rPr>
                <w:rStyle w:val="VerbatimChar"/>
              </w:rPr>
              <w:t xml:space="preserve">secondary_e-&gt;sink_4</w:t>
            </w:r>
          </w:p>
        </w:tc>
        <w:tc>
          <w:tcPr/>
          <w:p>
            <w:pPr>
              <w:pStyle w:val="Compact"/>
              <w:jc w:val="center"/>
            </w:pPr>
            <w:r>
              <w:t xml:space="preserve">3.0</w:t>
            </w:r>
          </w:p>
        </w:tc>
        <w:tc>
          <w:tcPr/>
          <w:p>
            <w:pPr>
              <w:pStyle w:val="Compact"/>
              <w:jc w:val="center"/>
            </w:pPr>
            <w:r>
              <w:t xml:space="preserve">34.0</w:t>
            </w:r>
          </w:p>
        </w:tc>
      </w:tr>
      <w:tr>
        <w:tc>
          <w:tcPr/>
          <w:p>
            <w:pPr>
              <w:pStyle w:val="Compact"/>
              <w:jc w:val="left"/>
            </w:pPr>
            <w:r>
              <w:t xml:space="preserve">12</w:t>
            </w:r>
          </w:p>
        </w:tc>
        <w:tc>
          <w:tcPr/>
          <w:p>
            <w:pPr>
              <w:pStyle w:val="Compact"/>
              <w:jc w:val="center"/>
            </w:pPr>
            <w:r>
              <w:rPr>
                <w:rStyle w:val="VerbatimChar"/>
              </w:rPr>
              <w:t xml:space="preserve">secondary_c-&gt;dispatch_gateway_west</w:t>
            </w:r>
          </w:p>
        </w:tc>
        <w:tc>
          <w:tcPr/>
          <w:p>
            <w:pPr>
              <w:pStyle w:val="Compact"/>
              <w:jc w:val="center"/>
            </w:pPr>
            <w:r>
              <w:t xml:space="preserve">2.0</w:t>
            </w:r>
          </w:p>
        </w:tc>
        <w:tc>
          <w:tcPr/>
          <w:p>
            <w:pPr>
              <w:pStyle w:val="Compact"/>
              <w:jc w:val="center"/>
            </w:pPr>
            <w:r>
              <w:t xml:space="preserve">35.0</w:t>
            </w:r>
          </w:p>
        </w:tc>
      </w:tr>
      <w:tr>
        <w:tc>
          <w:tcPr/>
          <w:p>
            <w:pPr>
              <w:pStyle w:val="Compact"/>
              <w:jc w:val="left"/>
            </w:pPr>
            <w:r>
              <w:t xml:space="preserve">13</w:t>
            </w:r>
          </w:p>
        </w:tc>
        <w:tc>
          <w:tcPr/>
          <w:p>
            <w:pPr>
              <w:pStyle w:val="Compact"/>
              <w:jc w:val="center"/>
            </w:pPr>
            <w:r>
              <w:rPr>
                <w:rStyle w:val="VerbatimChar"/>
              </w:rPr>
              <w:t xml:space="preserve">secondary_d-&gt;dispatch_gateway_east</w:t>
            </w:r>
          </w:p>
        </w:tc>
        <w:tc>
          <w:tcPr/>
          <w:p>
            <w:pPr>
              <w:pStyle w:val="Compact"/>
              <w:jc w:val="center"/>
            </w:pPr>
            <w:r>
              <w:t xml:space="preserve">2.0</w:t>
            </w:r>
          </w:p>
        </w:tc>
        <w:tc>
          <w:tcPr/>
          <w:p>
            <w:pPr>
              <w:pStyle w:val="Compact"/>
              <w:jc w:val="center"/>
            </w:pPr>
            <w:r>
              <w:t xml:space="preserve">35.0</w:t>
            </w:r>
          </w:p>
        </w:tc>
      </w:tr>
      <w:tr>
        <w:tc>
          <w:tcPr/>
          <w:p>
            <w:pPr>
              <w:pStyle w:val="Compact"/>
              <w:jc w:val="left"/>
            </w:pPr>
            <w:r>
              <w:t xml:space="preserve">14</w:t>
            </w:r>
          </w:p>
        </w:tc>
        <w:tc>
          <w:tcPr/>
          <w:p>
            <w:pPr>
              <w:pStyle w:val="Compact"/>
              <w:jc w:val="center"/>
            </w:pPr>
            <w:r>
              <w:rPr>
                <w:rStyle w:val="VerbatimChar"/>
              </w:rPr>
              <w:t xml:space="preserve">secondary_a-&gt;dispatch_gateway_east</w:t>
            </w:r>
          </w:p>
        </w:tc>
        <w:tc>
          <w:tcPr/>
          <w:p>
            <w:pPr>
              <w:pStyle w:val="Compact"/>
              <w:jc w:val="center"/>
            </w:pPr>
            <w:r>
              <w:t xml:space="preserve">1.0</w:t>
            </w:r>
          </w:p>
        </w:tc>
        <w:tc>
          <w:tcPr/>
          <w:p>
            <w:pPr>
              <w:pStyle w:val="Compact"/>
              <w:jc w:val="center"/>
            </w:pPr>
            <w:r>
              <w:t xml:space="preserve">36.0</w:t>
            </w:r>
          </w:p>
        </w:tc>
      </w:tr>
      <w:tr>
        <w:tc>
          <w:tcPr/>
          <w:p>
            <w:pPr>
              <w:pStyle w:val="Compact"/>
              <w:jc w:val="left"/>
            </w:pPr>
            <w:r>
              <w:t xml:space="preserve">15</w:t>
            </w:r>
          </w:p>
        </w:tc>
        <w:tc>
          <w:tcPr/>
          <w:p>
            <w:pPr>
              <w:pStyle w:val="Compact"/>
              <w:jc w:val="center"/>
            </w:pPr>
            <w:r>
              <w:rPr>
                <w:rStyle w:val="VerbatimChar"/>
              </w:rPr>
              <w:t xml:space="preserve">secondary_f-&gt;dispatch_gateway_west</w:t>
            </w:r>
          </w:p>
        </w:tc>
        <w:tc>
          <w:tcPr/>
          <w:p>
            <w:pPr>
              <w:pStyle w:val="Compact"/>
              <w:jc w:val="center"/>
            </w:pPr>
            <w:r>
              <w:t xml:space="preserve">1.0</w:t>
            </w:r>
          </w:p>
        </w:tc>
        <w:tc>
          <w:tcPr/>
          <w:p>
            <w:pPr>
              <w:pStyle w:val="Compact"/>
              <w:jc w:val="center"/>
            </w:pPr>
            <w:r>
              <w:t xml:space="preserve">36.0</w:t>
            </w:r>
          </w:p>
        </w:tc>
      </w:tr>
    </w:tbl>
    <w:bookmarkEnd w:id="84"/>
    <w:bookmarkStart w:id="85" w:name="tab:critical_edges_config_b_appendix"/>
    <w:p>
      <w:pPr>
        <w:pStyle w:val="TableCaption"/>
      </w:pPr>
      <w:r>
        <w:t xml:space="preserve">Full ranked single-edge sensitivity results for Configuration B (all non-zero</w:t>
      </w:r>
      <w:r>
        <w:t xml:space="preserve"> </w:t>
      </w:r>
      <m:oMath>
        <m:r>
          <m:rPr>
            <m:sty m:val="p"/>
          </m:rPr>
          <m:t>Δ</m:t>
        </m:r>
        <m:sSup>
          <m:e>
            <m:r>
              <m:t>F</m:t>
            </m:r>
          </m:e>
          <m:sup>
            <m:r>
              <m:rPr>
                <m:sty m:val="p"/>
              </m:rPr>
              <m:t>*</m:t>
            </m:r>
          </m:sup>
        </m:sSup>
      </m:oMath>
      <w:r>
        <w:t xml:space="preserve"> </w:t>
      </w:r>
      <w:r>
        <w:t xml:space="preserve">edges).</w:t>
      </w:r>
    </w:p>
    <w:tbl>
      <w:tblPr>
        <w:tblStyle w:val="Table"/>
        <w:tblW w:type="auto" w:w="0"/>
        <w:tblLook w:firstRow="1" w:lastRow="0" w:firstColumn="0" w:lastColumn="0" w:noHBand="0" w:noVBand="0" w:val="0020"/>
        <w:tblCaption w:val="Full ranked single-edge sensitivity results for Configuration B (all non-zero \Delta F^* edges)."/>
      </w:tblPr>
      <w:tblGrid>
        <w:gridCol w:w="1980"/>
        <w:gridCol w:w="1980"/>
        <w:gridCol w:w="1980"/>
        <w:gridCol w:w="1980"/>
      </w:tblGrid>
      <w:tr>
        <w:trPr>
          <w:tblHeader w:val="on"/>
        </w:trPr>
        <w:tc>
          <w:tcPr/>
          <w:p>
            <w:pPr>
              <w:pStyle w:val="Compact"/>
              <w:jc w:val="left"/>
            </w:pPr>
            <w:r>
              <w:t xml:space="preserve">Rank</w:t>
            </w:r>
          </w:p>
        </w:tc>
        <w:tc>
          <w:tcPr/>
          <w:p>
            <w:pPr>
              <w:pStyle w:val="Compact"/>
              <w:jc w:val="center"/>
            </w:pPr>
            <w:r>
              <w:t xml:space="preserve">Label</w:t>
            </w:r>
          </w:p>
        </w:tc>
        <w:tc>
          <w:tcPr/>
          <w:p>
            <w:pPr>
              <w:pStyle w:val="Compact"/>
              <w:jc w:val="center"/>
            </w:pPr>
            <m:oMath>
              <m:r>
                <m:rPr>
                  <m:sty m:val="p"/>
                </m:rPr>
                <m:t>Δ</m:t>
              </m:r>
              <m:sSup>
                <m:e>
                  <m:r>
                    <m:t>F</m:t>
                  </m:r>
                </m:e>
                <m:sup>
                  <m:r>
                    <m:rPr>
                      <m:sty m:val="p"/>
                    </m:rPr>
                    <m:t>*</m:t>
                  </m:r>
                </m:sup>
              </m:sSup>
            </m:oMath>
          </w:p>
        </w:tc>
        <w:tc>
          <w:tcPr/>
          <w:p>
            <w:pPr>
              <w:pStyle w:val="Compact"/>
              <w:jc w:val="center"/>
            </w:pPr>
            <w:r>
              <w:rPr>
                <w:rStyle w:val="VerbatimChar"/>
              </w:rPr>
              <w:t xml:space="preserve">perturbed_flow</w:t>
            </w:r>
          </w:p>
        </w:tc>
      </w:tr>
      <w:tr>
        <w:tc>
          <w:tcPr/>
          <w:p>
            <w:pPr>
              <w:pStyle w:val="Compact"/>
              <w:jc w:val="left"/>
            </w:pPr>
            <w:r>
              <w:t xml:space="preserve">1</w:t>
            </w:r>
          </w:p>
        </w:tc>
        <w:tc>
          <w:tcPr/>
          <w:p>
            <w:pPr>
              <w:pStyle w:val="Compact"/>
              <w:jc w:val="center"/>
            </w:pPr>
            <w:r>
              <w:rPr>
                <w:rStyle w:val="VerbatimChar"/>
              </w:rPr>
              <w:t xml:space="preserve">dispatch_gateway_west-&gt;distribution_combiner</w:t>
            </w:r>
          </w:p>
        </w:tc>
        <w:tc>
          <w:tcPr/>
          <w:p>
            <w:pPr>
              <w:pStyle w:val="Compact"/>
              <w:jc w:val="center"/>
            </w:pPr>
            <w:r>
              <w:t xml:space="preserve">17.0</w:t>
            </w:r>
          </w:p>
        </w:tc>
        <w:tc>
          <w:tcPr/>
          <w:p>
            <w:pPr>
              <w:pStyle w:val="Compact"/>
              <w:jc w:val="center"/>
            </w:pPr>
            <w:r>
              <w:t xml:space="preserve">20.0</w:t>
            </w:r>
          </w:p>
        </w:tc>
      </w:tr>
      <w:tr>
        <w:tc>
          <w:tcPr/>
          <w:p>
            <w:pPr>
              <w:pStyle w:val="Compact"/>
              <w:jc w:val="left"/>
            </w:pPr>
            <w:r>
              <w:t xml:space="preserve">2</w:t>
            </w:r>
          </w:p>
        </w:tc>
        <w:tc>
          <w:tcPr/>
          <w:p>
            <w:pPr>
              <w:pStyle w:val="Compact"/>
              <w:jc w:val="center"/>
            </w:pPr>
            <w:r>
              <w:rPr>
                <w:rStyle w:val="VerbatimChar"/>
              </w:rPr>
              <w:t xml:space="preserve">dispatch_gateway_east-&gt;distribution_combiner</w:t>
            </w:r>
          </w:p>
        </w:tc>
        <w:tc>
          <w:tcPr/>
          <w:p>
            <w:pPr>
              <w:pStyle w:val="Compact"/>
              <w:jc w:val="center"/>
            </w:pPr>
            <w:r>
              <w:t xml:space="preserve">17.0</w:t>
            </w:r>
          </w:p>
        </w:tc>
        <w:tc>
          <w:tcPr/>
          <w:p>
            <w:pPr>
              <w:pStyle w:val="Compact"/>
              <w:jc w:val="center"/>
            </w:pPr>
            <w:r>
              <w:t xml:space="preserve">20.0</w:t>
            </w:r>
          </w:p>
        </w:tc>
      </w:tr>
      <w:tr>
        <w:tc>
          <w:tcPr/>
          <w:p>
            <w:pPr>
              <w:pStyle w:val="Compact"/>
              <w:jc w:val="left"/>
            </w:pPr>
            <w:r>
              <w:t xml:space="preserve">3</w:t>
            </w:r>
          </w:p>
        </w:tc>
        <w:tc>
          <w:tcPr/>
          <w:p>
            <w:pPr>
              <w:pStyle w:val="Compact"/>
              <w:jc w:val="center"/>
            </w:pPr>
            <w:r>
              <w:rPr>
                <w:rStyle w:val="VerbatimChar"/>
              </w:rPr>
              <w:t xml:space="preserve">secondary_e-&gt;sink_4</w:t>
            </w:r>
          </w:p>
        </w:tc>
        <w:tc>
          <w:tcPr/>
          <w:p>
            <w:pPr>
              <w:pStyle w:val="Compact"/>
              <w:jc w:val="center"/>
            </w:pPr>
            <w:r>
              <w:t xml:space="preserve">3.0</w:t>
            </w:r>
          </w:p>
        </w:tc>
        <w:tc>
          <w:tcPr/>
          <w:p>
            <w:pPr>
              <w:pStyle w:val="Compact"/>
              <w:jc w:val="center"/>
            </w:pPr>
            <w:r>
              <w:t xml:space="preserve">34.0</w:t>
            </w:r>
          </w:p>
        </w:tc>
      </w:tr>
    </w:tbl>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Propagation Algorithm For Reliability Analysis In Acyclic Process Networks</dc:title>
  <dc:creator>Temitope Ohiani; Caroline Pyke; Edoardo Patelli</dc:creator>
  <cp:keywords/>
  <dcterms:created xsi:type="dcterms:W3CDTF">2026-07-07T14:10:01Z</dcterms:created>
  <dcterms:modified xsi:type="dcterms:W3CDTF">2026-07-07T14:10:01Z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Directed acyclic network models arise in many infrastructure, logistics, and process-engineering applications where analysts need to assess both structural connectivity and deliverable throughput. These two questions are related but distinct: reachability analysis evaluates whether viable source-to-target paths exist under component uncertainty, whereas flow analysis quantifies how much resource can be delivered under capacity constraints. Although both types of analysis are well established individually, practical engineering workflows often require them to be implemented on a shared graph representation so that multiple performance questions can be answered consistently without repeated model transformation.This paper presents a computational toolkit for reachability and flow diagnostics in capacitated directed acyclic graphs. The toolkit builds on the Information Propagation Framework by combining exact reachability propagation with classical max-flow-based analysis, min-cut diagnostics, structural fragility queries, sensitivity measures, failure-impact studies, and parametric threshold analysis. The implementation is centred on a common preprocessed graph object that stores adjacency, traversal, and capacity metadata, enabling repeated solver calls and downstream diagnostics without re-parsing or reconstructing the network. Multi-source multi-sink networks are handled through automatic super-terminal reduction, while node-capacitated models are supported through internal node splitting with all results mapped back to the user’s original graph.The capabilities of the toolkit are demonstrated on a synthetic benchmark DAG with two alternative capacity configurations. The case study shows that networks with identical maximum throughput can exhibit substantially different bottleneck structures, cut degeneracy, upgrade effectiveness, and robustness to degradation. The contribution of the paper is therefore not new flow theory, but a unified computational implementation that integrates reachability and throughput analysis for directed acyclic network models in a reusable diagnostic framework.</vt:lpwstr>
  </property>
</Properties>
</file>