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Reviewer Comments</w:t>
      </w:r>
    </w:p>
    <w:p>
      <w:pPr>
        <w:pStyle w:val="Heading1"/>
      </w:pPr>
      <w:r>
        <w:t>Comments to the Authors</w:t>
      </w:r>
    </w:p>
    <w:tbl>
      <w:tblPr>
        <w:tblStyle w:val="TableGrid"/>
        <w:tblW w:type="auto" w:w="0"/>
        <w:tblLayout w:type="fixed"/>
        <w:tblLook w:firstColumn="1" w:firstRow="1" w:lastColumn="0" w:lastRow="0" w:noHBand="0" w:noVBand="1" w:val="04A0"/>
      </w:tblPr>
      <w:tblGrid>
        <w:gridCol w:w="4968"/>
        <w:gridCol w:w="4968"/>
      </w:tblGrid>
      <w:tr>
        <w:tc>
          <w:tcPr>
            <w:tcW w:type="dxa" w:w="5184"/>
            <w:shd w:val="clear" w:color="auto" w:fill="D9D9D9"/>
          </w:tcPr>
          <w:p>
            <w:r/>
            <w:r>
              <w:rPr>
                <w:b/>
              </w:rPr>
              <w:t>Reviewer Comment</w:t>
            </w:r>
          </w:p>
        </w:tc>
        <w:tc>
          <w:tcPr>
            <w:tcW w:type="dxa" w:w="3744"/>
            <w:shd w:val="clear" w:color="auto" w:fill="D9D9D9"/>
          </w:tcPr>
          <w:p>
            <w:r/>
            <w:r>
              <w:rPr>
                <w:b/>
              </w:rPr>
              <w:t>Your Response / Discussion Notes</w:t>
            </w:r>
          </w:p>
        </w:tc>
      </w:tr>
      <w:tr>
        <w:tc>
          <w:tcPr>
            <w:tcW w:type="dxa" w:w="5184"/>
          </w:tcPr>
          <w:p>
            <w:r>
              <w:rPr>
                <w:b/>
              </w:rPr>
              <w:t>Limited benchmark validation</w:t>
            </w:r>
          </w:p>
          <w:p>
            <w:r>
              <w:t>The validation against dPrPm is based on a single 16-node benchmark network. While IPA reproduces the exact solution, the evidence is insufficient to demonstrate superiority or general applicability. Additional benchmark networks with varying sizes and topological complexities should be included.</w:t>
            </w:r>
          </w:p>
        </w:tc>
        <w:tc>
          <w:tcPr>
            <w:tcW w:type="dxa" w:w="3744"/>
          </w:tcPr>
          <w:p>
            <w:r/>
          </w:p>
          <w:p/>
          <w:p/>
          <w:p/>
        </w:tc>
      </w:tr>
      <w:tr>
        <w:tc>
          <w:tcPr>
            <w:tcW w:type="dxa" w:w="5184"/>
          </w:tcPr>
          <w:p>
            <w:r>
              <w:rPr>
                <w:b/>
              </w:rPr>
              <w:t>Runtime comparison is not fully convincing</w:t>
            </w:r>
          </w:p>
          <w:p>
            <w:r>
              <w:t>The reported 134× speedup over dPrPm is based on runtimes extracted from a published paper rather than a controlled implementation environment. The manuscript itself acknowledges this limitation. Consequently, claims regarding computational superiority should be moderated or supported through a more rigorous comparison.</w:t>
            </w:r>
          </w:p>
        </w:tc>
        <w:tc>
          <w:tcPr>
            <w:tcW w:type="dxa" w:w="3744"/>
          </w:tcPr>
          <w:p>
            <w:r/>
          </w:p>
          <w:p/>
          <w:p/>
          <w:p/>
        </w:tc>
      </w:tr>
      <w:tr>
        <w:tc>
          <w:tcPr>
            <w:tcW w:type="dxa" w:w="5184"/>
          </w:tcPr>
          <w:p>
            <w:r>
              <w:rPr>
                <w:b/>
              </w:rPr>
              <w:t>Lack of comparison with established exact methods</w:t>
            </w:r>
          </w:p>
          <w:p>
            <w:r>
              <w:t>The manuscript discusses BDDs, cut-set methods, and decomposition methods in the literature review, but no quantitative comparison is provided. Since IPA is presented as an exact reliability algorithm, comparisons with established exact approaches would substantially strengthen the contribution.</w:t>
            </w:r>
          </w:p>
        </w:tc>
        <w:tc>
          <w:tcPr>
            <w:tcW w:type="dxa" w:w="3744"/>
          </w:tcPr>
          <w:p>
            <w:r/>
          </w:p>
          <w:p/>
          <w:p/>
          <w:p/>
        </w:tc>
      </w:tr>
      <w:tr>
        <w:tc>
          <w:tcPr>
            <w:tcW w:type="dxa" w:w="5184"/>
          </w:tcPr>
          <w:p>
            <w:r>
              <w:rPr>
                <w:b/>
              </w:rPr>
              <w:t>Theoretical complexity analysis requires clarification</w:t>
            </w:r>
          </w:p>
          <w:p>
            <w:r>
              <w:t>The complexity reduction claimed in Sections 4.3 and 6 appears largely qualitative. The manuscript would benefit from a more rigorous theoretical analysis, including clearer derivation of the proposed complexity expressions and discussion of worst-case behavior.</w:t>
            </w:r>
          </w:p>
        </w:tc>
        <w:tc>
          <w:tcPr>
            <w:tcW w:type="dxa" w:w="3744"/>
          </w:tcPr>
          <w:p>
            <w:r/>
          </w:p>
          <w:p/>
          <w:p/>
          <w:p/>
        </w:tc>
      </w:tr>
      <w:tr>
        <w:tc>
          <w:tcPr>
            <w:tcW w:type="dxa" w:w="5184"/>
          </w:tcPr>
          <w:p>
            <w:r>
              <w:rPr>
                <w:b/>
              </w:rPr>
              <w:t>Drone logistics case study lacks reliability insights</w:t>
            </w:r>
          </w:p>
          <w:p>
            <w:r>
              <w:t>The second case study focuses almost exclusively on computational performance. However, the paper is framed as a reliability analysis contribution. The manuscript should present actual reliability results, engineering interpretations, or decision-support implications obtained from the drone network analyses, not only runtime statistics.</w:t>
            </w:r>
          </w:p>
        </w:tc>
        <w:tc>
          <w:tcPr>
            <w:tcW w:type="dxa" w:w="3744"/>
          </w:tcPr>
          <w:p>
            <w:r/>
          </w:p>
          <w:p/>
          <w:p/>
          <w:p/>
        </w:tc>
      </w:tr>
      <w:tr>
        <w:tc>
          <w:tcPr>
            <w:tcW w:type="dxa" w:w="5184"/>
          </w:tcPr>
          <w:p>
            <w:r>
              <w:rPr>
                <w:b/>
              </w:rPr>
              <w:t>Scalability limitations deserve deeper discussion</w:t>
            </w:r>
          </w:p>
          <w:p>
            <w:r>
              <w:t>The results indicate that networks with nesting depth 16-18 become computationally expensive or impractical. Since this limitation is central to the applicability of the method, the manuscript should discuss more explicitly the practical range of network sizes and structures for which IPA remains competitive.</w:t>
            </w:r>
          </w:p>
        </w:tc>
        <w:tc>
          <w:tcPr>
            <w:tcW w:type="dxa" w:w="3744"/>
          </w:tcPr>
          <w:p>
            <w:r/>
          </w:p>
          <w:p/>
          <w:p/>
          <w:p/>
        </w:tc>
      </w:tr>
      <w:tr>
        <w:tc>
          <w:tcPr>
            <w:tcW w:type="dxa" w:w="5184"/>
          </w:tcPr>
          <w:p>
            <w:r>
              <w:rPr>
                <w:b/>
              </w:rPr>
              <w:t>Algorithm reproducibility</w:t>
            </w:r>
          </w:p>
          <w:p>
            <w:r>
              <w:t>Algorithm 1 provides only a high-level workflow. Additional implementation details regarding diamond identification, conditioning-set determination, and supernode caching would improve reproducibility.</w:t>
            </w:r>
          </w:p>
        </w:tc>
        <w:tc>
          <w:tcPr>
            <w:tcW w:type="dxa" w:w="3744"/>
          </w:tcPr>
          <w:p>
            <w:r/>
          </w:p>
          <w:p/>
          <w:p/>
          <w:p/>
        </w:tc>
      </w:tr>
      <w:tr>
        <w:tc>
          <w:tcPr>
            <w:tcW w:type="dxa" w:w="5184"/>
          </w:tcPr>
          <w:p>
            <w:r>
              <w:rPr>
                <w:b/>
              </w:rPr>
              <w:t>Minor editorial issues</w:t>
            </w:r>
          </w:p>
          <w:p>
            <w:r>
              <w:t>Several grammatical and stylistic issues are present throughout the manuscript. Examples include duplicated punctuation, typographical errors, and lengthy sentences in Sections 1, 4, and 5. A thorough language revision is recommended.</w:t>
            </w:r>
          </w:p>
        </w:tc>
        <w:tc>
          <w:tcPr>
            <w:tcW w:type="dxa" w:w="3744"/>
          </w:tcPr>
          <w:p>
            <w:r/>
          </w:p>
          <w:p/>
          <w:p/>
          <w:p/>
        </w:tc>
      </w:tr>
    </w:tbl>
    <w:p/>
    <w:p>
      <w:r>
        <w:br w:type="page"/>
      </w:r>
    </w:p>
    <w:p>
      <w:pPr>
        <w:pStyle w:val="Heading1"/>
      </w:pPr>
      <w:r>
        <w:t>Reviewer #2</w:t>
      </w:r>
    </w:p>
    <w:p>
      <w:r>
        <w:rPr>
          <w:i/>
        </w:rPr>
        <w:t>The manuscript presents the Information Propagation Algorithm (IPA), an exact message-passing method for computing source-to-node reliability in directed acyclic process networks. It addresses reconvergent paths (diamond structures) by applying conditional enumeration to shared ancestors and replacing them with equivalent supernodes to avoid redundant computations. While the methodology addresses a known bottleneck in infrastructure resilience assessment, the theoretical framing and validation need substantial strengthening to be suitable for publication:</w:t>
      </w:r>
    </w:p>
    <w:p/>
    <w:tbl>
      <w:tblPr>
        <w:tblStyle w:val="TableGrid"/>
        <w:tblW w:type="auto" w:w="0"/>
        <w:tblLayout w:type="fixed"/>
        <w:tblLook w:firstColumn="1" w:firstRow="1" w:lastColumn="0" w:lastRow="0" w:noHBand="0" w:noVBand="1" w:val="04A0"/>
      </w:tblPr>
      <w:tblGrid>
        <w:gridCol w:w="4968"/>
        <w:gridCol w:w="4968"/>
      </w:tblGrid>
      <w:tr>
        <w:tc>
          <w:tcPr>
            <w:tcW w:type="dxa" w:w="5184"/>
            <w:shd w:val="clear" w:color="auto" w:fill="D9D9D9"/>
          </w:tcPr>
          <w:p>
            <w:r/>
            <w:r>
              <w:rPr>
                <w:b/>
              </w:rPr>
              <w:t>Reviewer Comment</w:t>
            </w:r>
          </w:p>
        </w:tc>
        <w:tc>
          <w:tcPr>
            <w:tcW w:type="dxa" w:w="3744"/>
            <w:shd w:val="clear" w:color="auto" w:fill="D9D9D9"/>
          </w:tcPr>
          <w:p>
            <w:r/>
            <w:r>
              <w:rPr>
                <w:b/>
              </w:rPr>
              <w:t>Your Response / Discussion Notes</w:t>
            </w:r>
          </w:p>
        </w:tc>
      </w:tr>
      <w:tr>
        <w:tc>
          <w:tcPr>
            <w:tcW w:type="dxa" w:w="5184"/>
          </w:tcPr>
          <w:p>
            <w:r>
              <w:t>1) The core mechanism of IPA (resolving dependencies via conditioning and supernode caching) strongly parallels established exact inference techniques in probabilistic graphical models, such as Cutset Conditioning and the Junction Tree Algorithm. To ensure theoretical novelty, the manuscript must compare IPA to these existing algorithms and mathematically justify how it improves and specializes the theory specifically for graph-based process systems.</w:t>
            </w:r>
          </w:p>
        </w:tc>
        <w:tc>
          <w:tcPr>
            <w:tcW w:type="dxa" w:w="3744"/>
          </w:tcPr>
          <w:p>
            <w:r/>
          </w:p>
          <w:p/>
          <w:p/>
          <w:p/>
        </w:tc>
      </w:tr>
      <w:tr>
        <w:tc>
          <w:tcPr>
            <w:tcW w:type="dxa" w:w="5184"/>
          </w:tcPr>
          <w:p>
            <w:r>
              <w:t>2) In Section 5.1, the proposed exact method is benchmarked solely against the directed Probability Propagation Method (dPrPm), which is an approximate bounding technique. From the reviewer's perspective, IPA must also be benchmarked against state-of-the-art exact solvers, such as optimized Binary Decision Diagrams (BDDs) or standard exact inference engines, using the same grid and drone networks.</w:t>
            </w:r>
          </w:p>
        </w:tc>
        <w:tc>
          <w:tcPr>
            <w:tcW w:type="dxa" w:w="3744"/>
          </w:tcPr>
          <w:p>
            <w:r/>
          </w:p>
          <w:p/>
          <w:p/>
          <w:p/>
        </w:tc>
      </w:tr>
      <w:tr>
        <w:tc>
          <w:tcPr>
            <w:tcW w:type="dxa" w:w="5184"/>
          </w:tcPr>
          <w:p>
            <w:r>
              <w:t>3) Section 5.2.1 forces the bidirectional multiplex logistics network into a directed acyclic graph (DAG) by restricting edges to flow only from lower to higher functional levels. Because realistic modeling and decision-making in critical infrastructures often rely heavily on cyclic dependencies and bidirectional flows (e.g., returning drones or feedback loops), the authors must address the limitations of this DAG transformation and justify why this topological simplification does not compromise the validity of the resilience assessment.</w:t>
            </w:r>
          </w:p>
        </w:tc>
        <w:tc>
          <w:tcPr>
            <w:tcW w:type="dxa" w:w="3744"/>
          </w:tcPr>
          <w:p>
            <w:r/>
          </w:p>
          <w:p/>
          <w:p/>
          <w:p/>
        </w:tc>
      </w:tr>
      <w:tr>
        <w:tc>
          <w:tcPr>
            <w:tcW w:type="dxa" w:w="5184"/>
          </w:tcPr>
          <w:p>
            <w:r>
              <w:t>4) The authors note that computation times become intractable when diamond nesting depth reaches 18 or more. Since real-world critical infrastructures are often highly dense and deeply nested, this scalability limit is a major constraint. Section 5.3 should be expanded to discuss strategies for managing high-treewidth graphs, including a hybrid approach that uses approximate message-passing for deeply nested supernodes while maintaining exact inference in simpler regions of the network.</w:t>
            </w:r>
          </w:p>
        </w:tc>
        <w:tc>
          <w:tcPr>
            <w:tcW w:type="dxa" w:w="3744"/>
          </w:tcPr>
          <w:p>
            <w:r/>
          </w:p>
          <w:p/>
          <w:p/>
          <w:p/>
        </w:tc>
      </w:tr>
    </w:tbl>
    <w:p/>
    <w:p>
      <w:r>
        <w:br w:type="page"/>
      </w:r>
    </w:p>
    <w:p>
      <w:pPr>
        <w:pStyle w:val="Heading1"/>
      </w:pPr>
      <w:r>
        <w:t>Reviewer #3</w:t>
      </w:r>
    </w:p>
    <w:p>
      <w:r>
        <w:rPr>
          <w:i/>
        </w:rPr>
        <w:t>This manuscript presents the IPA, a novel exact message-passing approach for computing source-to-node reachability reliabilities in multi-source DAGs modeling process networks. The method intelligently identifies reconvergent “diamond” structures, resolves statistical dependencies via conditional enumeration on shared fork ancestors, and progressively replaces solved subgraphs with statistically equivalent supernodes. The following comments are provided for improving the quality of this work.</w:t>
      </w:r>
    </w:p>
    <w:p/>
    <w:tbl>
      <w:tblPr>
        <w:tblStyle w:val="TableGrid"/>
        <w:tblW w:type="auto" w:w="0"/>
        <w:tblLayout w:type="fixed"/>
        <w:tblLook w:firstColumn="1" w:firstRow="1" w:lastColumn="0" w:lastRow="0" w:noHBand="0" w:noVBand="1" w:val="04A0"/>
      </w:tblPr>
      <w:tblGrid>
        <w:gridCol w:w="4968"/>
        <w:gridCol w:w="4968"/>
      </w:tblGrid>
      <w:tr>
        <w:tc>
          <w:tcPr>
            <w:tcW w:type="dxa" w:w="5184"/>
            <w:shd w:val="clear" w:color="auto" w:fill="D9D9D9"/>
          </w:tcPr>
          <w:p>
            <w:r/>
            <w:r>
              <w:rPr>
                <w:b/>
              </w:rPr>
              <w:t>Reviewer Comment</w:t>
            </w:r>
          </w:p>
        </w:tc>
        <w:tc>
          <w:tcPr>
            <w:tcW w:type="dxa" w:w="3744"/>
            <w:shd w:val="clear" w:color="auto" w:fill="D9D9D9"/>
          </w:tcPr>
          <w:p>
            <w:r/>
            <w:r>
              <w:rPr>
                <w:b/>
              </w:rPr>
              <w:t>Your Response / Discussion Notes</w:t>
            </w:r>
          </w:p>
        </w:tc>
      </w:tr>
      <w:tr>
        <w:tc>
          <w:tcPr>
            <w:tcW w:type="dxa" w:w="5184"/>
          </w:tcPr>
          <w:p>
            <w:r>
              <w:t>1. Section 3 and 4 need significant expansion and reorganization. The workflow (Algorithm 1) is high-level; readers need a more detailed pseudocode or step-by-step example tracing a multi-level nested diamond through decomposition and supernode replacement beyond the simple single-diamond in Section 3.3.</w:t>
            </w:r>
          </w:p>
        </w:tc>
        <w:tc>
          <w:tcPr>
            <w:tcW w:type="dxa" w:w="3744"/>
          </w:tcPr>
          <w:p>
            <w:r/>
          </w:p>
          <w:p/>
          <w:p/>
          <w:p/>
        </w:tc>
      </w:tr>
      <w:tr>
        <w:tc>
          <w:tcPr>
            <w:tcW w:type="dxa" w:w="5184"/>
          </w:tcPr>
          <w:p>
            <w:r>
              <w:t>2. Elaborate on supernode implementation details: How exactly are conditional maps stored and queried? What happens with multiple overlapping diamonds or shared conditioning nodes across diamonds? Address potential cache explosion or state-space management.</w:t>
            </w:r>
          </w:p>
        </w:tc>
        <w:tc>
          <w:tcPr>
            <w:tcW w:type="dxa" w:w="3744"/>
          </w:tcPr>
          <w:p>
            <w:r/>
          </w:p>
          <w:p/>
          <w:p/>
          <w:p/>
        </w:tc>
      </w:tr>
      <w:tr>
        <w:tc>
          <w:tcPr>
            <w:tcW w:type="dxa" w:w="5184"/>
          </w:tcPr>
          <w:p>
            <w:r>
              <w:t>3. Please prove or more formally justify Lemma 4.1/4.2 on conditional invariance and supernode equivalence. The current proofs are sketches; strengthen them.</w:t>
            </w:r>
          </w:p>
        </w:tc>
        <w:tc>
          <w:tcPr>
            <w:tcW w:type="dxa" w:w="3744"/>
          </w:tcPr>
          <w:p>
            <w:r/>
          </w:p>
          <w:p/>
          <w:p/>
          <w:p/>
        </w:tc>
      </w:tr>
      <w:tr>
        <w:tc>
          <w:tcPr>
            <w:tcW w:type="dxa" w:w="5184"/>
          </w:tcPr>
          <w:p>
            <w:r>
              <w:t>4. In progressive decomposition, clarify handling of overlapping or non-hierarchical diamonds. What guarantees no loss of information or cycles in reduction?</w:t>
            </w:r>
          </w:p>
        </w:tc>
        <w:tc>
          <w:tcPr>
            <w:tcW w:type="dxa" w:w="3744"/>
          </w:tcPr>
          <w:p>
            <w:r/>
          </w:p>
          <w:p/>
          <w:p/>
          <w:p/>
        </w:tc>
      </w:tr>
      <w:tr>
        <w:tc>
          <w:tcPr>
            <w:tcW w:type="dxa" w:w="5184"/>
          </w:tcPr>
          <w:p>
            <w:r>
              <w:t>5. Complexity analysis (Section 4.3) is qualitative. Provide tighter bounds or worst-case discussion, even if empirical results dominate.</w:t>
            </w:r>
          </w:p>
        </w:tc>
        <w:tc>
          <w:tcPr>
            <w:tcW w:type="dxa" w:w="3744"/>
          </w:tcPr>
          <w:p>
            <w:r/>
          </w:p>
          <w:p/>
          <w:p/>
          <w:p/>
        </w:tc>
      </w:tr>
      <w:tr>
        <w:tc>
          <w:tcPr>
            <w:tcW w:type="dxa" w:w="5184"/>
          </w:tcPr>
          <w:p>
            <w:r>
              <w:t>6. Drone networks are valuable but the DAG construction from multiplex logistics needs more transparency (e.g., how transmission probabilities are derived from distances, exact level assignments, and handling of bidirectional original edges). Provide a small illustrative subgraph or statistics on average in/out-degrees.</w:t>
            </w:r>
          </w:p>
        </w:tc>
        <w:tc>
          <w:tcPr>
            <w:tcW w:type="dxa" w:w="3744"/>
          </w:tcPr>
          <w:p>
            <w:r/>
          </w:p>
          <w:p/>
          <w:p/>
          <w:p/>
        </w:tc>
      </w:tr>
      <w:tr>
        <w:tc>
          <w:tcPr>
            <w:tcW w:type="dxa" w:w="5184"/>
          </w:tcPr>
          <w:p>
            <w:r>
              <w:t>7. Please ensure all are high-quality, labeled clearly. Add captions explaining key takeaways.</w:t>
            </w:r>
          </w:p>
        </w:tc>
        <w:tc>
          <w:tcPr>
            <w:tcW w:type="dxa" w:w="3744"/>
          </w:tcPr>
          <w:p>
            <w:r/>
          </w:p>
          <w:p/>
          <w:p/>
          <w:p/>
        </w:tc>
      </w:tr>
      <w:tr>
        <w:tc>
          <w:tcPr>
            <w:tcW w:type="dxa" w:w="5184"/>
          </w:tcPr>
          <w:p>
            <w:r>
              <w:t>8. Discuss broader applicability (e.g., to Bayesian networks or other inference tasks) or limitations in non-process networks.</w:t>
            </w:r>
          </w:p>
        </w:tc>
        <w:tc>
          <w:tcPr>
            <w:tcW w:type="dxa" w:w="3744"/>
          </w:tcPr>
          <w:p>
            <w:r/>
          </w:p>
          <w:p/>
          <w:p/>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