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16A41" w14:textId="77777777" w:rsidR="00F93EF6" w:rsidRPr="00D82A1C" w:rsidRDefault="00EA40C3" w:rsidP="00EB7039">
      <w:pPr>
        <w:spacing w:line="276" w:lineRule="auto"/>
        <w:ind w:left="161" w:right="161"/>
        <w:jc w:val="center"/>
        <w:rPr>
          <w:rFonts w:ascii="Perpetua Titling MT"/>
          <w:b/>
          <w:spacing w:val="-4"/>
          <w:sz w:val="28"/>
        </w:rPr>
      </w:pPr>
      <w:r w:rsidRPr="00D82A1C">
        <w:rPr>
          <w:rFonts w:ascii="Perpetua Titling MT"/>
          <w:b/>
          <w:sz w:val="28"/>
        </w:rPr>
        <w:t xml:space="preserve"> </w:t>
      </w:r>
      <w:r w:rsidR="000553DF" w:rsidRPr="00D82A1C">
        <w:rPr>
          <w:rFonts w:ascii="Perpetua Titling MT"/>
          <w:b/>
          <w:sz w:val="28"/>
        </w:rPr>
        <w:t>CONTRATO</w:t>
      </w:r>
      <w:r w:rsidR="000553DF" w:rsidRPr="00D82A1C">
        <w:rPr>
          <w:rFonts w:ascii="Perpetua Titling MT"/>
          <w:b/>
          <w:spacing w:val="-6"/>
          <w:sz w:val="28"/>
        </w:rPr>
        <w:t xml:space="preserve"> </w:t>
      </w:r>
      <w:r w:rsidR="000553DF" w:rsidRPr="00D82A1C">
        <w:rPr>
          <w:rFonts w:ascii="Perpetua Titling MT"/>
          <w:b/>
          <w:sz w:val="28"/>
        </w:rPr>
        <w:t>PRESTAMO</w:t>
      </w:r>
      <w:r w:rsidR="000553DF" w:rsidRPr="00D82A1C">
        <w:rPr>
          <w:rFonts w:ascii="Perpetua Titling MT"/>
          <w:b/>
          <w:spacing w:val="-6"/>
          <w:sz w:val="28"/>
        </w:rPr>
        <w:t xml:space="preserve"> </w:t>
      </w:r>
      <w:r w:rsidR="000553DF" w:rsidRPr="00D82A1C">
        <w:rPr>
          <w:rFonts w:ascii="Perpetua Titling MT"/>
          <w:b/>
          <w:spacing w:val="-4"/>
          <w:sz w:val="28"/>
        </w:rPr>
        <w:t>PYME</w:t>
      </w:r>
    </w:p>
    <w:p w14:paraId="05D61051" w14:textId="77777777" w:rsidR="00EB7039" w:rsidRDefault="00EB7039" w:rsidP="00EB7039">
      <w:pPr>
        <w:spacing w:line="276" w:lineRule="auto"/>
        <w:ind w:left="161" w:right="161"/>
        <w:jc w:val="center"/>
        <w:rPr>
          <w:rFonts w:ascii="Perpetua Titling MT"/>
          <w:b/>
          <w:sz w:val="24"/>
        </w:rPr>
      </w:pPr>
    </w:p>
    <w:p w14:paraId="003C9898"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En el día de la fecha {{fecha}}, quien suscribe: {{nombre_completo}} DNI Nº {{dni}}, con domicilio en {{domicilio}} de la Ciudad de {{ciudad}} (C.P. {{cp}}), Provincia {{provincia}} Profesión {{profesion}} CUIT {{cuil}}, titular del comercio sito en calle {{domicilio_comercial}} en la ciudad de {{ciudad_comercial}} (C.P {{cp_comercial}}) Nombre de Fantasía: {{nombre_comercio}} (en adelante, el SOLICITANTE); solicita de ZAYIN SERVICIOS FINANCIEROS S.A.S., con domicilio en Altos de CNEA, Dúplex A, Lote 6, Manzana 3D, Collón Curá S/N, de la Ciudad de Plottier, Provincia de Neuquén (en adelante, la OTORGANTE), a traves del sitio web: Zprest.com.ar, el otorgamiento de un préstamo para capital de trabajo, que quedará sujeto a las siguientes cláusulas y condiciones:</w:t>
      </w:r>
    </w:p>
    <w:p w14:paraId="2FB6B64B"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1ª. MONTO Y ACREDITACIÓN. El monto del préstamo es la suma de {{monto}} ({{monto_letras}}) que LA OTORGANTE entregará (acreditará) al SOLICITANTE. La suma será depositada en la cuenta indicada por EL SOLICITANTE (CVU/CBU Nº {{cbu}}, Titular {{nombre_completo}} en BILLETERA VIRTUAL/BANCO nombre: {{banco}}) Dicha acreditación en la cuenta mencionada servirá como suficiente constancia de recepción del monto por parte del SOLICITANTE. Asimismo, la aceptación del crédito por LA OTORGANTE, una vez efectuada la primera acreditación, implicará la celebración del presente contrato que vincula a ambas partes bajo estos términos.</w:t>
      </w:r>
    </w:p>
    <w:p w14:paraId="0F7C2222"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En caso de que EL SOLICITANTE cancele anticipadamente parte del dinero prestado antes de la fecha fijada para el vencimiento total (Cláusula Segunda), LA OTORGANTE podrá, a su sola opción, liberar el cupo dentro del límite del monto acordado en esta cláusula. Esto significa que EL SOLICITANTE podría volver a disponer de fondos adicionales (hasta completar el monto total de {{monto}}) bajo las mismas condiciones pactadas en este contrato, o bajo condiciones que se pacten en el futuro mediante acuerdo expreso. En tal supuesto, las partes suscribirán una adenda a la presente solicitud de préstamo en la cual se establecerán las condiciones del nuevo desembolso.</w:t>
      </w:r>
    </w:p>
    <w:p w14:paraId="28362DC5"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Finalmente, una vez cumplido el pago total de todas las obligaciones emergentes del presente contrato (es decir, canceladas la totalidad de las cuotas pactadas y demás sumas adeudadas), el contrato se considerará finalizado de pleno derecho. Cualquier nuevo préstamo que el SOLICITANTE desee obtener de LA OTORGANTE después de la finalización del presente deberá instrumentarse mediante la celebración de un nuevo contrato independiente, salvo acuerdo expreso en contrario entre las partes.</w:t>
      </w:r>
    </w:p>
    <w:p w14:paraId="4186B9FB"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2ª. FORMA DE PAGO E INTERESES. EL SOLICITANTE se obliga a reembolsar el préstamo en {{plazo_dias}} cuotas diarias, iguales y consecutivas, de {{cuota_diaria}} ({{cuota_diaria_letras}}) cada una. Cada cuota diaria comprende la porción de capital, los intereses compensatorios devengados y el IVA (21%) sobre dichos intereses. Las cuotas se abonarán en forma diaria; la primera cuota vencerá el día {{primera_cuota_fecha}} y las cuotas siguientes vencerán cada día según el cronograma de pagos (ver Anexo).</w:t>
      </w:r>
    </w:p>
    <w:p w14:paraId="68999CBC"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El préstamo devengará intereses compensatorios calculados diariamente sobre el saldo de capital adeudado, de acuerdo a un esquema de cálculo diario atípico.</w:t>
      </w:r>
    </w:p>
    <w:p w14:paraId="681ECE3B"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 xml:space="preserve">La Tasa Nominal Anual (TNA) aplicada es del {{tna}}, lo que equivale a una Tasa Efectiva Diaria (TED) de aproximadamente {{ted}}. En base a esta última, la Tasa Efectiva Anual (TEA) resultante asciende al {{tea}}. Cada cuota diaria incluye los intereses generados hasta ese día, más el Impuesto al Valor Agregado (IVA, 21%) correspondiente a dichos intereses. El Costo Financiero Total Efectivo Anual (CFTEA) para el presente préstamo es del {{cftea}}, e incluye todos los intereses, el IVA sobre los intereses devengados y los </w:t>
      </w:r>
      <w:r w:rsidRPr="0041656E">
        <w:rPr>
          <w:sz w:val="24"/>
          <w:szCs w:val="24"/>
          <w:lang w:val="es-AR"/>
        </w:rPr>
        <w:lastRenderedPageBreak/>
        <w:t>gastos administrativos aplicables. (Se adjunta en el Anexo el detalle del cálculo de las cuotas, con sus componentes de capital, interés e IVA, y fechas de vencimiento).</w:t>
      </w:r>
    </w:p>
    <w:p w14:paraId="00DAA9E5"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Todos los pagos que deba efectuar EL SOLICITANTE en virtud de este contrato se realizarán en forma diaria mediante transferencia bancaria o mediante pago QR a la cuenta Mercado Pago de LA OTORGANTE, en la oportunidad en que el cobrador designado por LA OTORGANTE concurra al domicilio comercial del SOLICITANTE. Bajo ninguna circunstancia el cobrador recibirá dinero en efectivo; su función se limita a facilitar y verificar la realización del pago a través de los medios electrónicos mencionados.</w:t>
      </w:r>
    </w:p>
    <w:p w14:paraId="5FB45E5A"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EL SOLICITANTE se obliga a mantener fondos suficientes en su cuenta o billetera para que, al momento de presentarse el cobrador, los pagos puedan hacerse efectivos sin demoras. Se deja expresa constancia de que EL SOLICITANTE podrá, si lo desea, anticipar o adelantar pagos voluntariamente, siempre respetando las fechas de vencimiento pactadas, utilizando los medios de pago establecidos por LA OTORGANTE (los cuales serán informados a través de la página web de LA OTORGANTE u otros canales oficiales). En caso de que el SOLICITANTE opte por realizar pagos en forma voluntaria por su cuenta y ello genere gastos adicionales (por ejemplo, comisiones por el uso de ciertos medios de pago), dichos gastos serán asumidos exclusivamente por EL SOLICITANTE.</w:t>
      </w:r>
    </w:p>
    <w:p w14:paraId="25948A53"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3ª: MODALIDADES DE PAGO. El SOLICITANTE podrá hacer uso de las facilidades de pago especiales que la OTORGANTE pudiera establecer a su favor, las cuales operarán a través del sitio de Internet de la OTORGANTE, y que se regirán por las condiciones allí establecidas. En este acto, el SOLICITANTE declara conocer y aceptar plenamente esas modalidades especiales de pago, considerándose las mismas, parte integrante de la presente solicitud de préstamo.</w:t>
      </w:r>
    </w:p>
    <w:p w14:paraId="4E8B591C"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4ª: ANTECEDENTES. COMPROMISO DE TRANSPARENCIA Y BUENA FE. Se hace constar:</w:t>
      </w:r>
    </w:p>
    <w:p w14:paraId="52E66189"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a) Que el SOLICITANTE ha tomado conocimiento previo de los "Términos y Condiciones" que regulan el otorgamiento del préstamo solicitado, incluyendo el detalle de cada uno de los rubros que componen el monto total a devolver y el texto íntegro de esta solicitud (contrato), todo lo cual tiene a su disposición y copia en su poder en el sitio de Internet de la OTORGANTE. b) Que, a los efectos del otorgamiento del préstamo, la OTORGANTE ha evaluado la condición crediticia del SOLICITANTE en base a la información obtenida de la Central de Deudores del BCRA u otras fuentes pertinentes, circunstancia que el SOLICITANTE reconoce y acepta. c) Que en el mencionado sitio web el SOLICITANTE podrá consultar en cualquier momento el estado de cuenta de su préstamo, incluyendo el monto otorgado, el cronograma de cuotas programadas, las cuotas ya abonadas, el saldo pendiente de pago y el uso de las modalidades especiales de pago establecidas en la cláusula Tercera. d) Que las partes confieren plena validez legal a las comunicaciones que cursen a través del referido sitio de Internet, y se obligan a prestar activa colaboración para el cumplimiento de las pautas contractuales aquí contenidas.</w:t>
      </w:r>
    </w:p>
    <w:p w14:paraId="6B38A0DB"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e) Que el SOLICITANTE se hace responsable por la correcta operatoria de la cuenta bancaria por él designada (conforme cláusula Primera) a los fines de la acreditación de las sumas convenidas en este contrato, debiendo notificar de inmediato a la OTORGANTE cualquier cambio en dicha cuenta.</w:t>
      </w:r>
    </w:p>
    <w:p w14:paraId="767FD476"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 xml:space="preserve">f) Que el SOLICITANTE da su conformidad y autoriza expresamente a la OTORGANTE a: (i) Transmitir información sobre los productos y/o servicios contratados, así como los datos personales proporcionados por el SOLICITANTE, a terceras empresas con fines de </w:t>
      </w:r>
      <w:r w:rsidRPr="0041656E">
        <w:rPr>
          <w:sz w:val="24"/>
          <w:szCs w:val="24"/>
          <w:lang w:val="es-AR"/>
        </w:rPr>
        <w:lastRenderedPageBreak/>
        <w:t>evaluación crediticia, operativos o de guarda/almacenamiento de datos, sean empresas vinculadas o no a la OTORGANTE; y (ii) Acceder y consultar la información crediticia que sobre el SOLICITANTE exista en la Central de Deudores del Sistema Financiero o en las entidades de información crediticia que correspondan, en las formas legalmente habilitadas a tal efecto.</w:t>
      </w:r>
    </w:p>
    <w:p w14:paraId="2106AA15"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5ª. PAGARÉ. En garantía de las obligaciones asumidas, EL SOLICITANTE entrega en este acto a LA OTORGANTE un pagaré suscripto "sin protesto" y a la vista, a favor de LA OTORGANTE, por la suma de {{monto}} ({{monto_letras}}). Las partes acuerdan que dicho pagaré solo podrá ser completado y ejecutado en caso de mora del SOLICITANTE configurada conforme lo pactado en la Cláusula 7ª. En tal situación de mora, LA OTORGANTE queda facultada para reclamar mediante la ejecución del pagaré únicamente el saldo adeudado por EL SOLICITANTE en virtud del presente contrato (capital, intereses compensatorios devengados, intereses punitorios, cargos y gastos aplicables), con independencia de la suma nominal por la que fue emitido el pagaré. Es decir, el pagaré servirá de título ejecutivo hasta por el monto realmente adeudado al momento de su ejecución, aunque su importe original sea mayor.</w:t>
      </w:r>
    </w:p>
    <w:p w14:paraId="17B79ACF"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6ª: GASTOS Y RESPONSABILIDAD DEL SOLICITANTE. El SOLICITANTE reconoce que es de su cargo exclusivo el pago de cualquier gasto o impuesto presente o futuro que grave al crédito otorgado, incluyendo sellados, impuestos de crédito y débito bancario, IVA u otros, eximiendo de toda responsabilidad a la OTORGANTE por dichos conceptos. Asimismo, el SOLICITANTE declara que dispone de capacidad de pago suficiente para afrontar el presente compromiso sin afectar la normal marcha de su negocio.</w:t>
      </w:r>
    </w:p>
    <w:p w14:paraId="79BAACFF"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7ª. MORA. La falta de pago de cualquiera de las obligaciones asumidas por EL SOLICITANTE en este contrato hará que incurra en mora automática y de pleno derecho, sin necesidad de interpelación o reclamo previo de ninguna clase. En particular, constituirán causas de mora: a) La inexistencia de fondos suficientes en la cuenta designada o medio de pago provisto por EL SOLICITANTE para el pago de cualquiera de las cuotas o pagos a su cargo (obligación de provisión de fondos asumida en Cláusula 2ª). b) El cambio adverso en la condición financiera o crediticia actual del SOLICITANTE, o el incumplimiento de cualquier otra obligación que éste tenga con LA OTORGANTE o con terceros, si tal circunstancia afectare su solvencia moral, personal o comercial de manera significativa. c) La falsedad o inexactitud de cualquiera de las declaraciones, manifestaciones o datos personales proporcionados por EL SOLICITANTE, ya sea en la presente solicitud o en la documentación entregada durante el proceso de evaluación crediticia.</w:t>
      </w:r>
    </w:p>
    <w:p w14:paraId="098B9C84"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8ª: CONSECUENCIAS DE LA MORA. Incurrida la mora por parte del SOLICITANTE, la OTORGANTE quedará habilitada a exigir inmediatamente el pago de la totalidad del saldo adeudado del préstamo, el cual será considerado automáticamente vencido y exigible en su totalidad (vencimiento anticipado de plazo). El saldo adeudado se considerará como capital de plazo vencido y devengará los intereses compensatorios pactados, más los accesorios y gastos que correspondan, calculados desde la fecha de mora y hasta el efectivo pago total.</w:t>
      </w:r>
    </w:p>
    <w:p w14:paraId="4C001A64"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Asimismo, desde el momento de la mora y hasta la cancelación total de lo adeudado, el monto reclamado devengará, además de los intereses compensatorios, un interés punitorio (mora) equivalente al cincuenta por ciento (50%) de la tasa convenida para los intereses compensatorios. El interés punitorio comenzará a correr a partir del incumplimiento o configuración de la mora y se calculará sobre el capital vencido impago.</w:t>
      </w:r>
    </w:p>
    <w:p w14:paraId="3B014F23"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lastRenderedPageBreak/>
        <w:t>Para hacer efectivo lo anterior, la OTORGANTE podrá proceder a la ejecución judicial del pagaré firmado conforme la cláusula Quinta. Sin perjuicio de ello, ante la mora del SOLICITANTE, la OTORGANTE podrá realizar gestiones de cobranza extrajudicial previas a la iniciación de acciones judiciales de cobro. Queda expresamente convenido que serán a cargo exclusivo del SOLICITANTE todos los gastos, costas y honorarios profesionales que se originen tanto en la eventual gestión de cobranza extrajudicial como en la judicial del crédito adeudado.</w:t>
      </w:r>
    </w:p>
    <w:p w14:paraId="3C45BF44"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9ª: ADECUACIÓN – NO PREVALENCIA. En el hipotético supuesto de que alguna cláusula de las contenidas en las presentes condiciones resultare incompatible o no plenamente acorde con alguna disposición normativa vigente, o con alguna regla de buenas prácticas a la que hubiere adherido la OTORGANTE, esta se compromete a no prevalerse de dicha cláusula en perjuicio del SOLICITANTE. En su caso, la OTORGANTE aplicará la cláusula cuestionada solo en la medida en que resulte compatible con las normas legales o reglamentarias o con las referidas reglas de buenas prácticas que resulten aplicables al presente contrato.</w:t>
      </w:r>
    </w:p>
    <w:p w14:paraId="5AC76D77"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10ª: MODIFICACIONES. Cualquier modificación a los cargos administrativos y/o comisiones pactadas será notificada al SOLICITANTE a través del email registrado por este en el sitio web de la OTORGANTE, con no menos de treinta (30) días de anticipación a la fecha en que dicha modificación deba entrar en vigencia. Las modificaciones que impliquen incrementos en los cargos o comisiones responderán exclusivamente a la incorporación o mejora de servicios tecnológicos o prestaciones brindadas, o a variaciones en los costos operativos involucrados en la actividad financiera de la OTORGANTE.</w:t>
      </w:r>
    </w:p>
    <w:p w14:paraId="2FBF5F4C"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11ª: CONDICION FISCAL. El SOLICITANTE manifiesta estar inscripto ante la ARCA.</w:t>
      </w:r>
    </w:p>
    <w:p w14:paraId="5BB7C41E"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12ª: CONFORMIDAD – CESIÓN. La OTORGANTE podrá ceder o transferir libremente los derechos resultantes de la presente relación contractual, sin que ello implique modificación alguna de las obligaciones asumidas por el SOLICITANTE, quien desde ya presta su conformidad a tal cesión. En los casos en que la cesión se realice de conformidad con lo previsto en los arts. 70, 71 y 72 de la Ley 24.441, las partes acuerdan que no será requisito la notificación previa de dicha cesión al SOLICITANTE.</w:t>
      </w:r>
    </w:p>
    <w:p w14:paraId="33EBA71D"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13ª. DECLARACIÓN JURADA. EL SOLICITANTE declara bajo juramento que todos los datos personales y comerciales que ingresó por medios electrónicos (vía Internet) al solicitar el presente crédito son verdaderos, exactos y actuales a la fecha de la suscripción del contrato. Asimismo, ratifica dicha información de manera íntegra mediante la firma del Anexo que se adjunta al presente, considerándose dichas declaraciones juradas como parte integrante del contrato. Cualquier falsedad o inexactitud en estos datos habilitará a LA OTORGANTE a considerar incumplida la obligación de información veraz por parte del SOLICITANTE (ver Cláusula 6ª.c) y a adoptar las medidas correspondientes.</w:t>
      </w:r>
    </w:p>
    <w:p w14:paraId="7276D2CE"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14ª. COMPETENCIA Y DOMICILIOS. Para todos los efectos judiciales y extrajudiciales derivados del presente contrato, las partes acuerdan someterse a la competencia de los Tribunales Ordinarios de la Primera Circunscripción Judicial de la Provincia de Neuquén, con sede en la ciudad de Neuquén, República Argentina. A tal efecto, constituyen domicilios especiales en los indicados en el encabezamiento de este contrato, donde serán válidas todas las notificaciones y comunicaciones que deban practicarse. Cualquier cambio de domicilio deberá ser notificado fehacientemente a la otra parte dentro de las 48 horas de producido. En caso contrario, las notificaciones cursadas al último domicilio constituido válido surtirán plenos efectos.</w:t>
      </w:r>
    </w:p>
    <w:p w14:paraId="53822FC8"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 xml:space="preserve">15ª. PROTECCIÓN DE DATOS PERSONALES. LA OTORGANTE manifiesta poseer y </w:t>
      </w:r>
      <w:r w:rsidRPr="0041656E">
        <w:rPr>
          <w:sz w:val="24"/>
          <w:szCs w:val="24"/>
          <w:lang w:val="es-AR"/>
        </w:rPr>
        <w:lastRenderedPageBreak/>
        <w:t>aplicar una estricta Política de Protección de Datos Personales, cuyo objeto es la protección integral de los datos personales asentados en sus bases de datos, a fin de garantizar el derecho a la intimidad y al honor de las personas, así como el acceso solamente autorizado a la información que sobre las mismas se registre, de conformidad con lo prescripto por el art. 43 de la Constitución Nacional Argentina (derecho de hábeas data) y la Ley 25.326 (Ley de Protección de Datos Personales). No obstante, EL SOLICITANTE consiente expresamente que LA OTORGANTE pueda informar a empresas y/u organismos dedicados a la recopilación de información crediticia y/o financiera sobre el estado de cumplimiento de las obligaciones asumidas por EL SOLICITANTE en el presente contrato. En particular, EL SOLICITANTE autoriza que, en caso de incurrir en mora o impago, LA OTORGANTE comunique tal circunstancia (incluyendo sus datos personales y el monto de la deuda vencida) a las bases de datos crediticias del sistema financiero (tales como Veraz, Fidelitas, BCRA Central de Deudores, u otras equivalentes), conforme a la normativa vigente.</w:t>
      </w:r>
    </w:p>
    <w:p w14:paraId="446FEABE"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16ª. CLÁUSULA DE REVOCACIÓN. EL SOLICITANTE tiene el derecho irrenunciable de revocar su aceptación del presente préstamo dentro del plazo de 10 (diez) días hábiles, contados a partir de la fecha en que el monto del préstamo haya sido puesto efectivamente a su disposición. Para ejercer esta revocación, EL SOLICITANTE deberá notificar fehacientemente su decisión a LA OTORGANTE (por escrito en soporte papel o mediante el mismo medio electrónico por el cual solicitó el préstamo, a elección del SOLICITANTE). El ejercicio en tiempo y forma de este derecho de revocación no generará costo ni responsabilidad alguna para EL SOLICITANTE, siempre y cuando no haya hecho uso del importe del préstamo. En caso de revocación válida, EL SOLICITANTE deberá reintegrar inmediatamente el capital acreditado (si ya hubiese sido depositado en su cuenta), sin intereses ni penalidades, quedando las partes liberadas de sus obligaciones recíprocas bajo este contrato.</w:t>
      </w:r>
    </w:p>
    <w:p w14:paraId="148D41C2"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17ª: CARÁCTER COMERCIAL – EXCLUSIÓN DE RELACIÓN DE CONSUMO. El SOLICITANTE manifiesta expresamente que el préstamo objeto del presente contrato ha sido solicitado y será utilizado exclusivamente con fines comerciales y/o de inversión en su emprendimiento, quedando excluido del ámbito de destinación personal, familiar o doméstica. En virtud de ello, ambas partes acuerdan que no resultan aplicables al presente contrato las disposiciones de la Ley de Defensa del Consumidor Nº 24.240, por no configurarse una relación de consumo. El SOLICITANTE, con su firma, reconoce el carácter estrictamente comercial de este préstamo y renuncia a invocar la aplicación de las normas de protección al consumidor para el presente caso.</w:t>
      </w:r>
    </w:p>
    <w:p w14:paraId="0A2074F0"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 xml:space="preserve">18ª: FIRMA ELECTRÓNICA Y VALIDEZ JURÍDICA: Las partes acuerdan suscribir el presente contrato mediante firma electrónica con validación biométrica, utilizando los mecanismos provistos por el Prestamista (plataforma de firma digital/electrónica). En virtud de la Ley N° 25.506 de Firma Digital y el art. 288 del Código Civil y Comercial de la Nación, cuando la ley requiera una firma manuscrita, este requisito queda satisfecho por una firma digital que asegure indubitablemente la autoría e integridad del instrumento. La firma electrónica utilizada (que puede consistir en la firma biométrica capturada en pantalla, credenciales digitales, códigos one-time password, u otro medio de autenticación electrónica) vincula jurídicamente a las partes con su declaración de voluntad. Las partes reconocen que el documento electrónico firmado de este modo constituye un "instrumento privado" plenamente válido y exigible, teniendo la misma fuerza probatoria que un documento en soporte papel firmado de puño y letra. Cada parte puede solicitar una copia </w:t>
      </w:r>
      <w:r w:rsidRPr="0041656E">
        <w:rPr>
          <w:sz w:val="24"/>
          <w:szCs w:val="24"/>
          <w:lang w:val="es-AR"/>
        </w:rPr>
        <w:lastRenderedPageBreak/>
        <w:t>digital firmada del contrato, la cual se considera original única. Fundamento legal: La validez de la firma electrónica se basa en la Ley 25.506 y decretos reglamentarios, que reconocen la eficacia jurídica de la firma electrónica y digital, y en el principio de neutralidad tecnológica consagrado en el CCCN. En caso de que alguna de las partes desconozca la autenticidad de una firma electrónica, la carga de la prueba corresponderá a quien la presentó, conforme lo previsto en la normativa vigente. No obstante, si la firma utilizada es firma digital certificada, gozará de la presunción legal de autoría e integridad ("iuris tantum") establecida en la ley, equiparándose plenamente a la firma ológrafa. Ambas partes renuncian a cuestionar la validez del presente contrato por la forma en que ha sido firmado, salvo prueba de adulteración o vicio en el consentimiento.</w:t>
      </w:r>
    </w:p>
    <w:p w14:paraId="1A32DD47" w14:textId="77777777" w:rsidR="0041656E" w:rsidRPr="0041656E" w:rsidRDefault="0041656E" w:rsidP="0041656E">
      <w:pPr>
        <w:pStyle w:val="Textoindependiente"/>
        <w:spacing w:line="276" w:lineRule="auto"/>
        <w:ind w:right="163"/>
        <w:jc w:val="both"/>
        <w:rPr>
          <w:sz w:val="24"/>
          <w:szCs w:val="24"/>
          <w:lang w:val="es-AR"/>
        </w:rPr>
      </w:pPr>
      <w:r w:rsidRPr="0041656E">
        <w:rPr>
          <w:sz w:val="24"/>
          <w:szCs w:val="24"/>
          <w:lang w:val="es-AR"/>
        </w:rPr>
        <w:t>19ª. EQUIVALENCIA DIGITAL Y COPIAS: El presente contrato celebrado en formato digital será considerado como original único. Las partes acuerdan que no será necesario firmar ejemplares en papel, dado que la versión electrónica firmada goza de plena validez. En caso de requerirse por algún motivo formal una copia en soporte papel, se podrá imprimir el documento digital y cada parte podrá suscribir manualmente un ejemplar para su archivo, dejando constancia que se trata de copia fiel del original electrónico. No obstante, para todos los efectos legales entre las partes, prevalecerá el documento digital firmado electrónicamente, salvo que se demuestre su inautenticidad. Ninguna de las partes podrá alegar la nulidad o inaplicabilidad de las obligaciones asumidas aduciendo la falta de soporte papel o de firma manuscrita, habida cuenta de lo acordado precedentemente (Ley 25.506, art. 288 CCCN, art. 1106 CCCN y concordantes).</w:t>
      </w:r>
    </w:p>
    <w:p w14:paraId="2C5FA836" w14:textId="77777777" w:rsidR="00ED243C" w:rsidRPr="0041656E" w:rsidRDefault="00ED243C" w:rsidP="00EB7039">
      <w:pPr>
        <w:pStyle w:val="Textoindependiente"/>
        <w:spacing w:line="276" w:lineRule="auto"/>
        <w:ind w:right="163"/>
        <w:jc w:val="both"/>
        <w:rPr>
          <w:b/>
          <w:sz w:val="24"/>
          <w:szCs w:val="24"/>
          <w:lang w:val="es-AR"/>
        </w:rPr>
      </w:pPr>
    </w:p>
    <w:p w14:paraId="6CC4FB07" w14:textId="77777777" w:rsidR="00ED243C" w:rsidRPr="00D82A1C" w:rsidRDefault="00ED243C" w:rsidP="00EB7039">
      <w:pPr>
        <w:pStyle w:val="Textoindependiente"/>
        <w:spacing w:line="276" w:lineRule="auto"/>
        <w:ind w:right="163"/>
        <w:jc w:val="both"/>
        <w:rPr>
          <w:b/>
          <w:sz w:val="24"/>
          <w:szCs w:val="24"/>
        </w:rPr>
      </w:pPr>
    </w:p>
    <w:p w14:paraId="5BDF2C75" w14:textId="77777777" w:rsidR="00ED243C" w:rsidRPr="00D82A1C" w:rsidRDefault="00ED243C" w:rsidP="00EB7039">
      <w:pPr>
        <w:pStyle w:val="Textoindependiente"/>
        <w:spacing w:line="276" w:lineRule="auto"/>
        <w:ind w:right="163"/>
        <w:jc w:val="both"/>
        <w:rPr>
          <w:b/>
          <w:sz w:val="24"/>
          <w:szCs w:val="24"/>
        </w:rPr>
      </w:pPr>
    </w:p>
    <w:p w14:paraId="1BB97A85" w14:textId="77777777" w:rsidR="00ED243C" w:rsidRPr="00D82A1C" w:rsidRDefault="00ED243C" w:rsidP="00EB7039">
      <w:pPr>
        <w:pStyle w:val="Textoindependiente"/>
        <w:spacing w:line="276" w:lineRule="auto"/>
        <w:ind w:right="163"/>
        <w:jc w:val="both"/>
        <w:rPr>
          <w:b/>
          <w:sz w:val="24"/>
          <w:szCs w:val="24"/>
        </w:rPr>
      </w:pPr>
    </w:p>
    <w:p w14:paraId="359DF704" w14:textId="77777777" w:rsidR="00257D5C" w:rsidRPr="00D82A1C" w:rsidRDefault="00257D5C" w:rsidP="00EB7039">
      <w:pPr>
        <w:pStyle w:val="Textoindependiente"/>
        <w:spacing w:line="276" w:lineRule="auto"/>
        <w:ind w:right="163"/>
        <w:jc w:val="both"/>
        <w:rPr>
          <w:b/>
          <w:sz w:val="24"/>
          <w:szCs w:val="24"/>
        </w:rPr>
      </w:pPr>
    </w:p>
    <w:p w14:paraId="081A1EDC" w14:textId="77777777" w:rsidR="00257D5C" w:rsidRPr="00D82A1C" w:rsidRDefault="00257D5C" w:rsidP="00EB7039">
      <w:pPr>
        <w:pStyle w:val="Textoindependiente"/>
        <w:spacing w:line="276" w:lineRule="auto"/>
        <w:ind w:right="163"/>
        <w:jc w:val="both"/>
        <w:rPr>
          <w:b/>
          <w:sz w:val="24"/>
          <w:szCs w:val="24"/>
        </w:rPr>
      </w:pPr>
    </w:p>
    <w:sectPr w:rsidR="00257D5C" w:rsidRPr="00D82A1C" w:rsidSect="00CB366E">
      <w:headerReference w:type="default" r:id="rId7"/>
      <w:pgSz w:w="11910" w:h="16840" w:code="9"/>
      <w:pgMar w:top="1384" w:right="920" w:bottom="280" w:left="920" w:header="20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310B0" w14:textId="77777777" w:rsidR="008B6D99" w:rsidRDefault="008B6D99" w:rsidP="00F93EF6">
      <w:r>
        <w:separator/>
      </w:r>
    </w:p>
  </w:endnote>
  <w:endnote w:type="continuationSeparator" w:id="0">
    <w:p w14:paraId="0C2CD10F" w14:textId="77777777" w:rsidR="008B6D99" w:rsidRDefault="008B6D99" w:rsidP="00F93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erpetua Titling MT">
    <w:panose1 w:val="020205020605050208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E1B73" w14:textId="77777777" w:rsidR="008B6D99" w:rsidRDefault="008B6D99" w:rsidP="00F93EF6">
      <w:r>
        <w:separator/>
      </w:r>
    </w:p>
  </w:footnote>
  <w:footnote w:type="continuationSeparator" w:id="0">
    <w:p w14:paraId="15C2BEE6" w14:textId="77777777" w:rsidR="008B6D99" w:rsidRDefault="008B6D99" w:rsidP="00F93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0C24" w14:textId="2F0C021A" w:rsidR="004246D8" w:rsidRDefault="00A81A48">
    <w:pPr>
      <w:pStyle w:val="Textoindependiente"/>
      <w:spacing w:line="14" w:lineRule="auto"/>
      <w:ind w:left="0"/>
    </w:pPr>
    <w:r>
      <w:rPr>
        <w:noProof/>
      </w:rPr>
      <w:drawing>
        <wp:anchor distT="0" distB="0" distL="114300" distR="114300" simplePos="0" relativeHeight="251658240" behindDoc="1" locked="0" layoutInCell="1" allowOverlap="1" wp14:anchorId="010A0422" wp14:editId="5973157B">
          <wp:simplePos x="0" y="0"/>
          <wp:positionH relativeFrom="column">
            <wp:posOffset>5896610</wp:posOffset>
          </wp:positionH>
          <wp:positionV relativeFrom="paragraph">
            <wp:posOffset>18415</wp:posOffset>
          </wp:positionV>
          <wp:extent cx="873760" cy="732790"/>
          <wp:effectExtent l="0" t="0" r="0" b="0"/>
          <wp:wrapNone/>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3760" cy="7327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6" behindDoc="1" locked="0" layoutInCell="1" allowOverlap="1" wp14:anchorId="784D36FC" wp14:editId="418EC5A8">
              <wp:simplePos x="0" y="0"/>
              <wp:positionH relativeFrom="page">
                <wp:posOffset>673100</wp:posOffset>
              </wp:positionH>
              <wp:positionV relativeFrom="page">
                <wp:posOffset>438150</wp:posOffset>
              </wp:positionV>
              <wp:extent cx="2337435" cy="167005"/>
              <wp:effectExtent l="0" t="0" r="0" b="0"/>
              <wp:wrapNone/>
              <wp:docPr id="51171253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7435" cy="167005"/>
                      </a:xfrm>
                      <a:prstGeom prst="rect">
                        <a:avLst/>
                      </a:prstGeom>
                      <a:noFill/>
                      <a:ln>
                        <a:noFill/>
                      </a:ln>
                    </wps:spPr>
                    <wps:txbx>
                      <w:txbxContent>
                        <w:p w14:paraId="454348F3" w14:textId="77777777" w:rsidR="004246D8" w:rsidRDefault="004246D8">
                          <w:pPr>
                            <w:spacing w:before="12"/>
                            <w:ind w:left="20"/>
                            <w:rPr>
                              <w:b/>
                              <w:sz w:val="20"/>
                            </w:rPr>
                          </w:pPr>
                          <w:r>
                            <w:rPr>
                              <w:b/>
                              <w:sz w:val="20"/>
                            </w:rPr>
                            <w:t>ZAYIN</w:t>
                          </w:r>
                          <w:r>
                            <w:rPr>
                              <w:b/>
                              <w:spacing w:val="-8"/>
                              <w:sz w:val="20"/>
                            </w:rPr>
                            <w:t xml:space="preserve"> </w:t>
                          </w:r>
                          <w:r>
                            <w:rPr>
                              <w:b/>
                              <w:sz w:val="20"/>
                            </w:rPr>
                            <w:t>SERVICIOS</w:t>
                          </w:r>
                          <w:r>
                            <w:rPr>
                              <w:b/>
                              <w:spacing w:val="-10"/>
                              <w:sz w:val="20"/>
                            </w:rPr>
                            <w:t xml:space="preserve"> </w:t>
                          </w:r>
                          <w:r>
                            <w:rPr>
                              <w:b/>
                              <w:sz w:val="20"/>
                            </w:rPr>
                            <w:t>FINANCIEROS</w:t>
                          </w:r>
                          <w:r>
                            <w:rPr>
                              <w:b/>
                              <w:spacing w:val="-9"/>
                              <w:sz w:val="20"/>
                            </w:rPr>
                            <w:t xml:space="preserve"> </w:t>
                          </w:r>
                          <w:r>
                            <w:rPr>
                              <w:b/>
                              <w:spacing w:val="-5"/>
                              <w:sz w:val="20"/>
                            </w:rPr>
                            <w:t>SAS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4D36FC" id="_x0000_t202" coordsize="21600,21600" o:spt="202" path="m,l,21600r21600,l21600,xe">
              <v:stroke joinstyle="miter"/>
              <v:path gradientshapeok="t" o:connecttype="rect"/>
            </v:shapetype>
            <v:shape id="Cuadro de texto 1" o:spid="_x0000_s1026" type="#_x0000_t202" style="position:absolute;margin-left:53pt;margin-top:34.5pt;width:184.05pt;height:13.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" filled="f" stroked="f">
              <v:textbox inset="0,0,0,0">
                <w:txbxContent>
                  <w:p w14:paraId="454348F3" w14:textId="77777777" w:rsidR="004246D8" w:rsidRDefault="004246D8">
                    <w:pPr>
                      <w:spacing w:before="12"/>
                      <w:ind w:left="20"/>
                      <w:rPr>
                        <w:b/>
                        <w:sz w:val="20"/>
                      </w:rPr>
                    </w:pPr>
                    <w:r>
                      <w:rPr>
                        <w:b/>
                        <w:sz w:val="20"/>
                      </w:rPr>
                      <w:t>ZAYIN</w:t>
                    </w:r>
                    <w:r>
                      <w:rPr>
                        <w:b/>
                        <w:spacing w:val="-8"/>
                        <w:sz w:val="20"/>
                      </w:rPr>
                      <w:t xml:space="preserve"> </w:t>
                    </w:r>
                    <w:r>
                      <w:rPr>
                        <w:b/>
                        <w:sz w:val="20"/>
                      </w:rPr>
                      <w:t>SERVICIOS</w:t>
                    </w:r>
                    <w:r>
                      <w:rPr>
                        <w:b/>
                        <w:spacing w:val="-10"/>
                        <w:sz w:val="20"/>
                      </w:rPr>
                      <w:t xml:space="preserve"> </w:t>
                    </w:r>
                    <w:r>
                      <w:rPr>
                        <w:b/>
                        <w:sz w:val="20"/>
                      </w:rPr>
                      <w:t>FINANCIEROS</w:t>
                    </w:r>
                    <w:r>
                      <w:rPr>
                        <w:b/>
                        <w:spacing w:val="-9"/>
                        <w:sz w:val="20"/>
                      </w:rPr>
                      <w:t xml:space="preserve"> </w:t>
                    </w:r>
                    <w:r>
                      <w:rPr>
                        <w:b/>
                        <w:spacing w:val="-5"/>
                        <w:sz w:val="20"/>
                      </w:rPr>
                      <w:t>SAS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23745"/>
    <w:multiLevelType w:val="multilevel"/>
    <w:tmpl w:val="3FF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45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F6"/>
    <w:rsid w:val="000122A1"/>
    <w:rsid w:val="00040F85"/>
    <w:rsid w:val="000553DF"/>
    <w:rsid w:val="00070DF8"/>
    <w:rsid w:val="00074BF4"/>
    <w:rsid w:val="00085E74"/>
    <w:rsid w:val="000A6F5F"/>
    <w:rsid w:val="000B427B"/>
    <w:rsid w:val="000B77CB"/>
    <w:rsid w:val="000C3923"/>
    <w:rsid w:val="00195313"/>
    <w:rsid w:val="001F0349"/>
    <w:rsid w:val="001F389D"/>
    <w:rsid w:val="00224E57"/>
    <w:rsid w:val="00237250"/>
    <w:rsid w:val="00257D5C"/>
    <w:rsid w:val="002E67CC"/>
    <w:rsid w:val="002F4B95"/>
    <w:rsid w:val="00340917"/>
    <w:rsid w:val="00366BF8"/>
    <w:rsid w:val="0039092E"/>
    <w:rsid w:val="003A3B85"/>
    <w:rsid w:val="003C72BA"/>
    <w:rsid w:val="0041656E"/>
    <w:rsid w:val="0042212B"/>
    <w:rsid w:val="004246D8"/>
    <w:rsid w:val="00457301"/>
    <w:rsid w:val="004573B0"/>
    <w:rsid w:val="00467C70"/>
    <w:rsid w:val="004709D1"/>
    <w:rsid w:val="00472242"/>
    <w:rsid w:val="00496AE2"/>
    <w:rsid w:val="004B6FC1"/>
    <w:rsid w:val="004D367D"/>
    <w:rsid w:val="004D62E4"/>
    <w:rsid w:val="005845DB"/>
    <w:rsid w:val="005A2450"/>
    <w:rsid w:val="005A4185"/>
    <w:rsid w:val="005B1FA2"/>
    <w:rsid w:val="005D04C6"/>
    <w:rsid w:val="005E7E09"/>
    <w:rsid w:val="00613013"/>
    <w:rsid w:val="00627826"/>
    <w:rsid w:val="0063734B"/>
    <w:rsid w:val="00651249"/>
    <w:rsid w:val="00667EF1"/>
    <w:rsid w:val="00676E16"/>
    <w:rsid w:val="006A2948"/>
    <w:rsid w:val="006B14DA"/>
    <w:rsid w:val="006B7DA1"/>
    <w:rsid w:val="006C07CB"/>
    <w:rsid w:val="00710D19"/>
    <w:rsid w:val="0078426F"/>
    <w:rsid w:val="007A5846"/>
    <w:rsid w:val="007B2BD5"/>
    <w:rsid w:val="007C7309"/>
    <w:rsid w:val="007D2B84"/>
    <w:rsid w:val="007D6CC1"/>
    <w:rsid w:val="00816475"/>
    <w:rsid w:val="0082768B"/>
    <w:rsid w:val="00840B06"/>
    <w:rsid w:val="00857B19"/>
    <w:rsid w:val="00860322"/>
    <w:rsid w:val="00876AD9"/>
    <w:rsid w:val="00890949"/>
    <w:rsid w:val="008928D1"/>
    <w:rsid w:val="008B538A"/>
    <w:rsid w:val="008B6747"/>
    <w:rsid w:val="008B6D99"/>
    <w:rsid w:val="008E156A"/>
    <w:rsid w:val="008F3171"/>
    <w:rsid w:val="0092704C"/>
    <w:rsid w:val="00941CE4"/>
    <w:rsid w:val="00951309"/>
    <w:rsid w:val="00974CE3"/>
    <w:rsid w:val="009C4E03"/>
    <w:rsid w:val="009E6340"/>
    <w:rsid w:val="00A21D7D"/>
    <w:rsid w:val="00A4587A"/>
    <w:rsid w:val="00A50FCF"/>
    <w:rsid w:val="00A81A48"/>
    <w:rsid w:val="00AB7D8B"/>
    <w:rsid w:val="00AC7802"/>
    <w:rsid w:val="00AF32AA"/>
    <w:rsid w:val="00B41568"/>
    <w:rsid w:val="00B45720"/>
    <w:rsid w:val="00B54868"/>
    <w:rsid w:val="00B82E16"/>
    <w:rsid w:val="00B9404B"/>
    <w:rsid w:val="00BB7B62"/>
    <w:rsid w:val="00C62A66"/>
    <w:rsid w:val="00CB366E"/>
    <w:rsid w:val="00CB73D9"/>
    <w:rsid w:val="00CD14A5"/>
    <w:rsid w:val="00CD7F87"/>
    <w:rsid w:val="00CF0E1D"/>
    <w:rsid w:val="00D31A89"/>
    <w:rsid w:val="00D50D03"/>
    <w:rsid w:val="00D5237F"/>
    <w:rsid w:val="00D61ACB"/>
    <w:rsid w:val="00D82A1C"/>
    <w:rsid w:val="00D9705F"/>
    <w:rsid w:val="00DD1718"/>
    <w:rsid w:val="00E657DE"/>
    <w:rsid w:val="00E936DD"/>
    <w:rsid w:val="00EA40C3"/>
    <w:rsid w:val="00EB7039"/>
    <w:rsid w:val="00EB7FF8"/>
    <w:rsid w:val="00ED243C"/>
    <w:rsid w:val="00ED4873"/>
    <w:rsid w:val="00F055C7"/>
    <w:rsid w:val="00F159D1"/>
    <w:rsid w:val="00F40123"/>
    <w:rsid w:val="00F64058"/>
    <w:rsid w:val="00F80170"/>
    <w:rsid w:val="00F93EF6"/>
    <w:rsid w:val="00FA5340"/>
    <w:rsid w:val="00FD022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D2489"/>
  <w15:chartTrackingRefBased/>
  <w15:docId w15:val="{A5243CC1-3C6C-461D-88C2-91E29E06D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93EF6"/>
    <w:pPr>
      <w:widowControl w:val="0"/>
      <w:autoSpaceDE w:val="0"/>
      <w:autoSpaceDN w:val="0"/>
    </w:pPr>
    <w:rPr>
      <w:rFonts w:ascii="Arial" w:eastAsia="Arial" w:hAnsi="Arial" w:cs="Arial"/>
      <w:sz w:val="22"/>
      <w:szCs w:val="22"/>
      <w:lang w:val="es-E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F93EF6"/>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Textoindependiente">
    <w:name w:val="Body Text"/>
    <w:basedOn w:val="Normal"/>
    <w:uiPriority w:val="1"/>
    <w:qFormat/>
    <w:rsid w:val="00F93EF6"/>
    <w:pPr>
      <w:ind w:left="160"/>
    </w:pPr>
    <w:rPr>
      <w:sz w:val="20"/>
      <w:szCs w:val="20"/>
    </w:rPr>
  </w:style>
  <w:style w:type="paragraph" w:styleId="Prrafodelista">
    <w:name w:val="List Paragraph"/>
    <w:basedOn w:val="Normal"/>
    <w:uiPriority w:val="1"/>
    <w:qFormat/>
    <w:rsid w:val="00F93EF6"/>
  </w:style>
  <w:style w:type="paragraph" w:customStyle="1" w:styleId="TableParagraph">
    <w:name w:val="Table Paragraph"/>
    <w:basedOn w:val="Normal"/>
    <w:uiPriority w:val="1"/>
    <w:qFormat/>
    <w:rsid w:val="00F93EF6"/>
    <w:pPr>
      <w:spacing w:before="78"/>
      <w:jc w:val="center"/>
    </w:pPr>
  </w:style>
  <w:style w:type="paragraph" w:styleId="Textodeglobo">
    <w:name w:val="Balloon Text"/>
    <w:basedOn w:val="Normal"/>
    <w:link w:val="TextodegloboCar"/>
    <w:uiPriority w:val="99"/>
    <w:semiHidden/>
    <w:unhideWhenUsed/>
    <w:rsid w:val="000553DF"/>
    <w:rPr>
      <w:rFonts w:ascii="Tahoma" w:hAnsi="Tahoma" w:cs="Times New Roman"/>
      <w:sz w:val="16"/>
      <w:szCs w:val="16"/>
      <w:lang w:eastAsia="x-none"/>
    </w:rPr>
  </w:style>
  <w:style w:type="character" w:customStyle="1" w:styleId="TextodegloboCar">
    <w:name w:val="Texto de globo Car"/>
    <w:link w:val="Textodeglobo"/>
    <w:uiPriority w:val="99"/>
    <w:semiHidden/>
    <w:rsid w:val="000553DF"/>
    <w:rPr>
      <w:rFonts w:ascii="Tahoma" w:eastAsia="Arial" w:hAnsi="Tahoma" w:cs="Tahoma"/>
      <w:sz w:val="16"/>
      <w:szCs w:val="16"/>
      <w:lang w:val="es-ES"/>
    </w:rPr>
  </w:style>
  <w:style w:type="paragraph" w:styleId="Encabezado">
    <w:name w:val="header"/>
    <w:basedOn w:val="Normal"/>
    <w:link w:val="EncabezadoCar"/>
    <w:uiPriority w:val="99"/>
    <w:semiHidden/>
    <w:unhideWhenUsed/>
    <w:rsid w:val="006B14DA"/>
    <w:pPr>
      <w:tabs>
        <w:tab w:val="center" w:pos="4252"/>
        <w:tab w:val="right" w:pos="8504"/>
      </w:tabs>
    </w:pPr>
  </w:style>
  <w:style w:type="character" w:customStyle="1" w:styleId="EncabezadoCar">
    <w:name w:val="Encabezado Car"/>
    <w:link w:val="Encabezado"/>
    <w:uiPriority w:val="99"/>
    <w:semiHidden/>
    <w:rsid w:val="006B14DA"/>
    <w:rPr>
      <w:rFonts w:ascii="Arial" w:eastAsia="Arial" w:hAnsi="Arial" w:cs="Arial"/>
      <w:sz w:val="22"/>
      <w:szCs w:val="22"/>
      <w:lang w:eastAsia="en-US"/>
    </w:rPr>
  </w:style>
  <w:style w:type="paragraph" w:styleId="Piedepgina">
    <w:name w:val="footer"/>
    <w:basedOn w:val="Normal"/>
    <w:link w:val="PiedepginaCar"/>
    <w:uiPriority w:val="99"/>
    <w:semiHidden/>
    <w:unhideWhenUsed/>
    <w:rsid w:val="006B14DA"/>
    <w:pPr>
      <w:tabs>
        <w:tab w:val="center" w:pos="4252"/>
        <w:tab w:val="right" w:pos="8504"/>
      </w:tabs>
    </w:pPr>
  </w:style>
  <w:style w:type="character" w:customStyle="1" w:styleId="PiedepginaCar">
    <w:name w:val="Pie de página Car"/>
    <w:link w:val="Piedepgina"/>
    <w:uiPriority w:val="99"/>
    <w:semiHidden/>
    <w:rsid w:val="006B14DA"/>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6533">
      <w:bodyDiv w:val="1"/>
      <w:marLeft w:val="0"/>
      <w:marRight w:val="0"/>
      <w:marTop w:val="0"/>
      <w:marBottom w:val="0"/>
      <w:divBdr>
        <w:top w:val="none" w:sz="0" w:space="0" w:color="auto"/>
        <w:left w:val="none" w:sz="0" w:space="0" w:color="auto"/>
        <w:bottom w:val="none" w:sz="0" w:space="0" w:color="auto"/>
        <w:right w:val="none" w:sz="0" w:space="0" w:color="auto"/>
      </w:divBdr>
    </w:div>
    <w:div w:id="94256483">
      <w:bodyDiv w:val="1"/>
      <w:marLeft w:val="0"/>
      <w:marRight w:val="0"/>
      <w:marTop w:val="0"/>
      <w:marBottom w:val="0"/>
      <w:divBdr>
        <w:top w:val="none" w:sz="0" w:space="0" w:color="auto"/>
        <w:left w:val="none" w:sz="0" w:space="0" w:color="auto"/>
        <w:bottom w:val="none" w:sz="0" w:space="0" w:color="auto"/>
        <w:right w:val="none" w:sz="0" w:space="0" w:color="auto"/>
      </w:divBdr>
    </w:div>
    <w:div w:id="407265652">
      <w:bodyDiv w:val="1"/>
      <w:marLeft w:val="0"/>
      <w:marRight w:val="0"/>
      <w:marTop w:val="0"/>
      <w:marBottom w:val="0"/>
      <w:divBdr>
        <w:top w:val="none" w:sz="0" w:space="0" w:color="auto"/>
        <w:left w:val="none" w:sz="0" w:space="0" w:color="auto"/>
        <w:bottom w:val="none" w:sz="0" w:space="0" w:color="auto"/>
        <w:right w:val="none" w:sz="0" w:space="0" w:color="auto"/>
      </w:divBdr>
    </w:div>
    <w:div w:id="619410833">
      <w:bodyDiv w:val="1"/>
      <w:marLeft w:val="0"/>
      <w:marRight w:val="0"/>
      <w:marTop w:val="0"/>
      <w:marBottom w:val="0"/>
      <w:divBdr>
        <w:top w:val="none" w:sz="0" w:space="0" w:color="auto"/>
        <w:left w:val="none" w:sz="0" w:space="0" w:color="auto"/>
        <w:bottom w:val="none" w:sz="0" w:space="0" w:color="auto"/>
        <w:right w:val="none" w:sz="0" w:space="0" w:color="auto"/>
      </w:divBdr>
    </w:div>
    <w:div w:id="909314281">
      <w:bodyDiv w:val="1"/>
      <w:marLeft w:val="0"/>
      <w:marRight w:val="0"/>
      <w:marTop w:val="0"/>
      <w:marBottom w:val="0"/>
      <w:divBdr>
        <w:top w:val="none" w:sz="0" w:space="0" w:color="auto"/>
        <w:left w:val="none" w:sz="0" w:space="0" w:color="auto"/>
        <w:bottom w:val="none" w:sz="0" w:space="0" w:color="auto"/>
        <w:right w:val="none" w:sz="0" w:space="0" w:color="auto"/>
      </w:divBdr>
    </w:div>
    <w:div w:id="969554647">
      <w:bodyDiv w:val="1"/>
      <w:marLeft w:val="0"/>
      <w:marRight w:val="0"/>
      <w:marTop w:val="0"/>
      <w:marBottom w:val="0"/>
      <w:divBdr>
        <w:top w:val="none" w:sz="0" w:space="0" w:color="auto"/>
        <w:left w:val="none" w:sz="0" w:space="0" w:color="auto"/>
        <w:bottom w:val="none" w:sz="0" w:space="0" w:color="auto"/>
        <w:right w:val="none" w:sz="0" w:space="0" w:color="auto"/>
      </w:divBdr>
    </w:div>
    <w:div w:id="1028915965">
      <w:bodyDiv w:val="1"/>
      <w:marLeft w:val="0"/>
      <w:marRight w:val="0"/>
      <w:marTop w:val="0"/>
      <w:marBottom w:val="0"/>
      <w:divBdr>
        <w:top w:val="none" w:sz="0" w:space="0" w:color="auto"/>
        <w:left w:val="none" w:sz="0" w:space="0" w:color="auto"/>
        <w:bottom w:val="none" w:sz="0" w:space="0" w:color="auto"/>
        <w:right w:val="none" w:sz="0" w:space="0" w:color="auto"/>
      </w:divBdr>
    </w:div>
    <w:div w:id="1371682292">
      <w:bodyDiv w:val="1"/>
      <w:marLeft w:val="0"/>
      <w:marRight w:val="0"/>
      <w:marTop w:val="0"/>
      <w:marBottom w:val="0"/>
      <w:divBdr>
        <w:top w:val="none" w:sz="0" w:space="0" w:color="auto"/>
        <w:left w:val="none" w:sz="0" w:space="0" w:color="auto"/>
        <w:bottom w:val="none" w:sz="0" w:space="0" w:color="auto"/>
        <w:right w:val="none" w:sz="0" w:space="0" w:color="auto"/>
      </w:divBdr>
    </w:div>
    <w:div w:id="1416127936">
      <w:bodyDiv w:val="1"/>
      <w:marLeft w:val="0"/>
      <w:marRight w:val="0"/>
      <w:marTop w:val="0"/>
      <w:marBottom w:val="0"/>
      <w:divBdr>
        <w:top w:val="none" w:sz="0" w:space="0" w:color="auto"/>
        <w:left w:val="none" w:sz="0" w:space="0" w:color="auto"/>
        <w:bottom w:val="none" w:sz="0" w:space="0" w:color="auto"/>
        <w:right w:val="none" w:sz="0" w:space="0" w:color="auto"/>
      </w:divBdr>
    </w:div>
    <w:div w:id="1687901047">
      <w:bodyDiv w:val="1"/>
      <w:marLeft w:val="0"/>
      <w:marRight w:val="0"/>
      <w:marTop w:val="0"/>
      <w:marBottom w:val="0"/>
      <w:divBdr>
        <w:top w:val="none" w:sz="0" w:space="0" w:color="auto"/>
        <w:left w:val="none" w:sz="0" w:space="0" w:color="auto"/>
        <w:bottom w:val="none" w:sz="0" w:space="0" w:color="auto"/>
        <w:right w:val="none" w:sz="0" w:space="0" w:color="auto"/>
      </w:divBdr>
    </w:div>
    <w:div w:id="1705910803">
      <w:bodyDiv w:val="1"/>
      <w:marLeft w:val="0"/>
      <w:marRight w:val="0"/>
      <w:marTop w:val="0"/>
      <w:marBottom w:val="0"/>
      <w:divBdr>
        <w:top w:val="none" w:sz="0" w:space="0" w:color="auto"/>
        <w:left w:val="none" w:sz="0" w:space="0" w:color="auto"/>
        <w:bottom w:val="none" w:sz="0" w:space="0" w:color="auto"/>
        <w:right w:val="none" w:sz="0" w:space="0" w:color="auto"/>
      </w:divBdr>
    </w:div>
    <w:div w:id="1905603172">
      <w:bodyDiv w:val="1"/>
      <w:marLeft w:val="0"/>
      <w:marRight w:val="0"/>
      <w:marTop w:val="0"/>
      <w:marBottom w:val="0"/>
      <w:divBdr>
        <w:top w:val="none" w:sz="0" w:space="0" w:color="auto"/>
        <w:left w:val="none" w:sz="0" w:space="0" w:color="auto"/>
        <w:bottom w:val="none" w:sz="0" w:space="0" w:color="auto"/>
        <w:right w:val="none" w:sz="0" w:space="0" w:color="auto"/>
      </w:divBdr>
    </w:div>
    <w:div w:id="2133286165">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3174</Words>
  <Characters>17459</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MultimediaDeReino</dc:creator>
  <cp:keywords/>
  <cp:lastModifiedBy>Mariano Aliandri</cp:lastModifiedBy>
  <cp:revision>2</cp:revision>
  <cp:lastPrinted>2025-03-21T16:36:00Z</cp:lastPrinted>
  <dcterms:created xsi:type="dcterms:W3CDTF">2026-05-15T18:29:00Z</dcterms:created>
  <dcterms:modified xsi:type="dcterms:W3CDTF">2026-05-15T18:29:00Z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2024-10-19T00:00:00Z</vt:filetime>
  </property>
  <property fmtid="{D5CDD505-2E9C-101B-9397-08002B2CF9AE}" pid="3" name="Creator">
    <vt:lpwstr>Microsoft® Office Word 2007</vt:lpwstr>
  </property>
  <property fmtid="{D5CDD505-2E9C-101B-9397-08002B2CF9AE}" pid="4" name="LastSaved">
    <vt:filetime>2025-02-17T00:00:00Z</vt:filetime>
  </property>
  <property fmtid="{D5CDD505-2E9C-101B-9397-08002B2CF9AE}" pid="5" name="Producer">
    <vt:lpwstr>Microsoft® Office Word 2007</vt:lpwstr>
  </property>
</Properties>
</file>