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g2exer2p0ct" w:id="0"/>
      <w:bookmarkEnd w:id="0"/>
      <w:r w:rsidDel="00000000" w:rsidR="00000000" w:rsidRPr="00000000">
        <w:rPr>
          <w:rtl w:val="0"/>
        </w:rPr>
        <w:t xml:space="preserve">Risk assessment activity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To complete the risk assessment activity, follow these steps to evaluate each risk and determine the likelihood, severity, and overall risk score. Here is a structured approach you can use: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Risk Factors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**Risk Factors**: The bank's coastal location could expose it to natural disasters such as hurricanes, which might disrupt operations. The presence of 120 employees and a customer base of 2,200 accounts increases the number of potential attack vectors. Compliance with stringent financial regulations demands that the bank ensures high levels of data and funds security.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Risks Evaluation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Assuming you are assessing five different risks, here’s how you might score them: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**Risk 1: Natural Disaster (e.g., Hurricane)**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**Likelihood**: 3 (Moderate) – Coastal location increases the probability of such events.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**Severity**: 5 (Critical) – Disruptions can severely impact bank operations and data integrity.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**Overall Risk Score**: 15 (Likelihood 3 x Severity 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**Risk 2: Data Breach due to Phishing**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**Likelihood**: 4 (High) – Many employees and customers could be targeted by phishing attempts.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**Severity**: 4 (High) – A data breach can result in significant financial and reputational damage.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**Overall Risk Score**: 16 (Likelihood 4 x Severity 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**Risk 3: Insider Threat (e.g., Malicious Employee)**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**Likelihood**: 2 (Low) – Fewer opportunities for malicious insider activity.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**Severity**: 5 (Critical) – Could lead to severe data and financial losses.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**Overall Risk Score**: 10 (Likelihood 2 x Severity 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**Risk 4: System Outage due to Software Failure**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**Likelihood**: 3 (Moderate) – Software systems are critical, and failures can occur.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**Severity**: 3 (Moderate) – A system outage impacts operational efficiency but might be recoverable.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**Overall Risk Score**: 9 (Likelihood 3 x Severity 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**Risk 5: Regulatory Compliance Violation**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**Likelihood**: 2 (Low) – The bank has a strong compliance framework.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**Severity**: 5 (Critical) – Non-compliance can result in severe legal and financial penalties.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**Overall Risk Score**: 10 (Likelihood 2 x Severity 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Summary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**Natural Disaster**: Likelihood 3, Severity 5, Overall Risk Score 15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**Data Breach due to Phishing**: Likelihood 4, Severity 4, Overall Risk Score 16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**Insider Threat**: Likelihood 2, Severity 5, Overall Risk Score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**System Outage**: Likelihood 3, Severity 3, Overall Risk Score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**Regulatory Compliance Violation**: Likelihood 2, Severity 5, Overall Risk Score 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team should prioritize risks with higher overall scores, such as Data Breach due to Phishing, to ensure the bank’s security posture is adequately addressed.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