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60"/>
          <w:szCs w:val="60"/>
        </w:rPr>
      </w:pPr>
      <w:bookmarkStart w:colFirst="0" w:colLast="0" w:name="_5x0d5h95i329" w:id="0"/>
      <w:bookmarkEnd w:id="0"/>
      <w:r w:rsidDel="00000000" w:rsidR="00000000" w:rsidRPr="00000000">
        <w:rPr>
          <w:b w:val="1"/>
          <w:color w:val="4a86e8"/>
          <w:sz w:val="60"/>
          <w:szCs w:val="60"/>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30th July, 2024</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u0z0ia4c7s7z"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rPr/>
      </w:pPr>
      <w:r w:rsidDel="00000000" w:rsidR="00000000" w:rsidRPr="00000000">
        <w:rPr>
          <w:rtl w:val="0"/>
        </w:rPr>
        <w:t xml:space="preserve">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Risks that were measured considered the data storage and management procedures of the business. Potential threat sources and events were determined using the likelihood of a security incident given the open access permissions of the information system. The severity of potential incidents were weighed against the impact on day-to-day operational needs.</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8">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