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B6CA8"/>
          <w:sz w:val="26"/>
          <w:szCs w:val="26"/>
        </w:rPr>
        <w:t xml:space="preserve">KPMG GreenPath</w:t>
      </w:r>
    </w:p>
    <w:p>
      <w:pPr>
        <w:spacing w:after="600" w:before="40"/>
        <w:jc w:val="center"/>
      </w:pPr>
      <w:r>
        <w:rPr>
          <w:rFonts w:ascii="Arial" w:cs="Arial" w:eastAsia="Arial" w:hAnsi="Arial"/>
          <w:color w:val="6B7280"/>
          <w:sz w:val="20"/>
          <w:szCs w:val="20"/>
        </w:rPr>
        <w:t xml:space="preserve">IT Sustainability Practice</w:t>
      </w:r>
    </w:p>
    <w:p>
      <w:pPr>
        <w:pBdr>
          <w:bottom w:val="single" w:color="1B6CA8" w:sz="18" w:space="12"/>
        </w:pBdr>
        <w:spacing w:after="40"/>
        <w:jc w:val="center"/>
      </w:pPr>
      <w:r>
        <w:rPr>
          <w:rFonts w:ascii="Arial" w:cs="Arial" w:eastAsia="Arial" w:hAnsi="Arial"/>
          <w:b/>
          <w:bCs/>
          <w:color w:val="0F2A47"/>
          <w:sz w:val="56"/>
          <w:szCs w:val="56"/>
        </w:rPr>
        <w:t xml:space="preserve">Carbon Footprint Calculator</w:t>
      </w:r>
    </w:p>
    <w:p>
      <w:pPr>
        <w:spacing w:after="1000" w:before="240"/>
        <w:jc w:val="center"/>
      </w:pPr>
      <w:r>
        <w:rPr>
          <w:rFonts w:ascii="Arial" w:cs="Arial" w:eastAsia="Arial" w:hAnsi="Arial"/>
          <w:color w:val="1A1A1A"/>
          <w:sz w:val="26"/>
          <w:szCs w:val="26"/>
        </w:rPr>
        <w:t xml:space="preserve">System Analysis Document</w:t>
      </w:r>
    </w:p>
    <w:p>
      <w:pPr>
        <w:spacing w:after="60"/>
        <w:jc w:val="center"/>
      </w:pPr>
      <w:r>
        <w:rPr>
          <w:rFonts w:ascii="Arial" w:cs="Arial" w:eastAsia="Arial" w:hAnsi="Arial"/>
          <w:b/>
          <w:bCs/>
          <w:color w:val="1E8A7A"/>
          <w:sz w:val="22"/>
          <w:szCs w:val="22"/>
        </w:rPr>
        <w:t xml:space="preserve">System Analysis Document (SAD)</w:t>
      </w:r>
    </w:p>
    <w:p>
      <w:pPr>
        <w:spacing w:after="60"/>
        <w:jc w:val="center"/>
      </w:pPr>
      <w:r>
        <w:rPr>
          <w:rFonts w:ascii="Arial" w:cs="Arial" w:eastAsia="Arial" w:hAnsi="Arial"/>
          <w:color w:val="6B7280"/>
          <w:sz w:val="20"/>
          <w:szCs w:val="20"/>
        </w:rPr>
        <w:t xml:space="preserve">Draft v1.0 — for engineering and methodology review</w:t>
      </w:r>
    </w:p>
    <w:p>
      <w:pPr>
        <w:spacing w:after="60"/>
        <w:jc w:val="center"/>
      </w:pPr>
      <w:r>
        <w:rPr>
          <w:rFonts w:ascii="Arial" w:cs="Arial" w:eastAsia="Arial" w:hAnsi="Arial"/>
          <w:color w:val="6B7280"/>
          <w:sz w:val="20"/>
          <w:szCs w:val="20"/>
        </w:rPr>
        <w:t xml:space="preserve">2026-05-20</w:t>
      </w:r>
    </w:p>
    <w:p>
      <w:pPr>
        <w:spacing w:before="1600"/>
        <w:jc w:val="center"/>
      </w:pPr>
      <w:r>
        <w:rPr>
          <w:rFonts w:ascii="Arial" w:cs="Arial" w:eastAsia="Arial" w:hAnsi="Arial"/>
          <w:i/>
          <w:iCs/>
          <w:color w:val="6B7280"/>
          <w:sz w:val="18"/>
          <w:szCs w:val="18"/>
        </w:rPr>
        <w:t xml:space="preserve">Classification: Confidential — for engineering and methodology review</w:t>
      </w:r>
    </w:p>
    <w:p>
      <w:r>
        <w:br w:type="page"/>
      </w:r>
    </w:p>
    <w:p>
      <w:pPr>
        <w:pStyle w:val="Heading1"/>
      </w:pPr>
      <w:r>
        <w:rPr>
          <w:rFonts w:ascii="Arial" w:cs="Arial" w:eastAsia="Arial" w:hAnsi="Arial"/>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Field</w:t>
            </w:r>
          </w:p>
        </w:tc>
        <w:tc>
          <w:tcPr>
            <w:tcW w:type="dxa" w:w="67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Detail</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Document title</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Carbon Footprint Calculator — System Analysis Document</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Programme</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KPMG GreenPath — IT Carbon Assessment</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Document type</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System Analysis Document (SAD)</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Version</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1.0 (Draft)</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Date</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2026-05-20</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Status</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For engineering and methodology review</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Author</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Architecture team</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 baseline</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Carbon Footprint Calculator Software Design Document (SDD), v1.0</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Classification</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Confidential</w:t>
            </w:r>
          </w:p>
        </w:tc>
      </w:tr>
    </w:tbl>
    <w:p>
      <w:pPr>
        <w:spacing w:after="120"/>
      </w:pPr>
      <w:r>
        <w:rPr>
          <w:rFonts w:ascii="Arial" w:cs="Arial" w:eastAsia="Arial" w:hAnsi="Arial"/>
        </w:rPr>
        <w:t xml:space="preserve"/>
      </w:r>
    </w:p>
    <w:p>
      <w:pPr>
        <w:pStyle w:val="Heading2"/>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600"/>
        <w:gridCol w:w="3960"/>
      </w:tblGrid>
      <w:tr>
        <w:trPr>
          <w:tblHeader/>
        </w:trPr>
        <w:tc>
          <w:tcPr>
            <w:tcW w:type="dxa" w:w="13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Version</w:t>
            </w:r>
          </w:p>
        </w:tc>
        <w:tc>
          <w:tcPr>
            <w:tcW w:type="dxa" w:w="15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Date</w:t>
            </w:r>
          </w:p>
        </w:tc>
        <w:tc>
          <w:tcPr>
            <w:tcW w:type="dxa" w:w="2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Author</w:t>
            </w:r>
          </w:p>
        </w:tc>
        <w:tc>
          <w:tcPr>
            <w:tcW w:type="dxa" w:w="39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Summary of change</w:t>
            </w:r>
          </w:p>
        </w:tc>
      </w:tr>
      <w:tr>
        <w:tc>
          <w:tcPr>
            <w:tcW w:type="dxa" w:w="1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0.1</w:t>
            </w:r>
          </w:p>
        </w:tc>
        <w:tc>
          <w:tcPr>
            <w:tcW w:type="dxa" w:w="1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2026-05-12</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Architecture team</w:t>
            </w:r>
          </w:p>
        </w:tc>
        <w:tc>
          <w:tcPr>
            <w:tcW w:type="dxa" w:w="3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Initial skeleton derived from build guide</w:t>
            </w:r>
          </w:p>
        </w:tc>
      </w:tr>
      <w:tr>
        <w:tc>
          <w:tcPr>
            <w:tcW w:type="dxa" w:w="1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0.9</w:t>
            </w:r>
          </w:p>
        </w:tc>
        <w:tc>
          <w:tcPr>
            <w:tcW w:type="dxa" w:w="15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2026-05-18</w:t>
            </w:r>
          </w:p>
        </w:tc>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Architecture team</w:t>
            </w:r>
          </w:p>
        </w:tc>
        <w:tc>
          <w:tcPr>
            <w:tcW w:type="dxa" w:w="3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Requirements, NFRs and risk analysis added</w:t>
            </w:r>
          </w:p>
        </w:tc>
      </w:tr>
      <w:tr>
        <w:tc>
          <w:tcPr>
            <w:tcW w:type="dxa" w:w="1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1.0</w:t>
            </w:r>
          </w:p>
        </w:tc>
        <w:tc>
          <w:tcPr>
            <w:tcW w:type="dxa" w:w="1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2026-05-20</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Architecture team</w:t>
            </w:r>
          </w:p>
        </w:tc>
        <w:tc>
          <w:tcPr>
            <w:tcW w:type="dxa" w:w="3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First reviewable draft synthesised from the SDD</w:t>
            </w:r>
          </w:p>
        </w:tc>
      </w:tr>
    </w:tbl>
    <w:p>
      <w:pPr>
        <w:spacing w:after="120"/>
      </w:pPr>
      <w:r>
        <w:rPr>
          <w:rFonts w:ascii="Arial" w:cs="Arial" w:eastAsia="Arial" w:hAnsi="Arial"/>
        </w:rPr>
        <w:t xml:space="preserve"/>
      </w:r>
    </w:p>
    <w:p>
      <w:pPr>
        <w:pStyle w:val="Heading2"/>
      </w:pPr>
      <w:r>
        <w:rPr>
          <w:rFonts w:ascii="Arial" w:cs="Arial" w:eastAsia="Arial" w:hAnsi="Arial"/>
        </w:rPr>
        <w:t xml:space="preserve">Distribution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Role</w:t>
            </w:r>
          </w:p>
        </w:tc>
        <w:tc>
          <w:tcPr>
            <w:tcW w:type="dxa" w:w="2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Name</w:t>
            </w:r>
          </w:p>
        </w:tc>
        <w:tc>
          <w:tcPr>
            <w:tcW w:type="dxa" w:w="41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Responsibility</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Engineering lead</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Owns technical delivery and architecture</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Methodology lead</w:t>
            </w:r>
          </w:p>
        </w:tc>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Owns factor governance and calculation correctness</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Assurance reviewer</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Independent reproducibility sign-off</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Product owner</w:t>
            </w:r>
          </w:p>
        </w:tc>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Owns scope, roadmap and acceptance</w:t>
            </w:r>
          </w:p>
        </w:tc>
      </w:tr>
    </w:tbl>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40" w:line="276"/>
        <w:jc w:val="both"/>
      </w:pPr>
      <w:r>
        <w:rPr>
          <w:rFonts w:ascii="Arial" w:cs="Arial" w:eastAsia="Arial" w:hAnsi="Arial"/>
        </w:rPr>
        <w:t xml:space="preserve">This System Analysis Document defines what the Carbon Footprint Calculator must do and why. It captures the business need, stakeholders, functional and non-functional requirements, use cases, architecture analysis, interfaces, constraints, and risks. It is the analysis counterpart to the Database Design Document, which specifies how the data is structured and governed.</w:t>
      </w:r>
    </w:p>
    <w:p>
      <w:pPr>
        <w:spacing w:after="140" w:line="276"/>
        <w:jc w:val="both"/>
      </w:pPr>
      <w:r>
        <w:rPr>
          <w:rFonts w:ascii="Arial" w:cs="Arial" w:eastAsia="Arial" w:hAnsi="Arial"/>
        </w:rPr>
        <w:t xml:space="preserve">The calculator replaces the existing KPMG GreenPath IT carbon footprint Excel workbook with a governed, auditable calculation product. It is deliberately not a spreadsheet wrapper: it is a calculation engine with first-class source data, versioned assumptions, a row-level audit trail, and an explainable report.</w:t>
      </w:r>
    </w:p>
    <w:p>
      <w:pPr>
        <w:pStyle w:val="Heading2"/>
      </w:pPr>
      <w:r>
        <w:rPr>
          <w:rFonts w:ascii="Arial" w:cs="Arial" w:eastAsia="Arial" w:hAnsi="Arial"/>
        </w:rPr>
        <w:t xml:space="preserve">1.2 North Star</w:t>
      </w:r>
    </w:p>
    <w:p>
      <w:pPr>
        <w:spacing w:after="140" w:line="276"/>
        <w:jc w:val="both"/>
      </w:pPr>
      <w:r>
        <w:rPr>
          <w:rFonts w:ascii="Arial" w:cs="Arial" w:eastAsia="Arial" w:hAnsi="Arial"/>
        </w:rPr>
        <w:t xml:space="preserve">A user of the report must be able to point at any kilogram of CO₂e on the page and trace it, in one click, back to the user input, the emission factor, the factor source and version, the formula version, and the assumption set that produced it. Every analysis decision in this document serves that single objective.</w:t>
      </w:r>
    </w:p>
    <w:p>
      <w:pPr>
        <w:pStyle w:val="Heading2"/>
      </w:pPr>
      <w:r>
        <w:rPr>
          <w:rFonts w:ascii="Arial" w:cs="Arial" w:eastAsia="Arial" w:hAnsi="Arial"/>
        </w:rPr>
        <w:t xml:space="preserve">1.3 Scope</w:t>
      </w:r>
    </w:p>
    <w:p>
      <w:pPr>
        <w:pStyle w:val="Heading3"/>
      </w:pPr>
      <w:r>
        <w:rPr>
          <w:rFonts w:ascii="Arial" w:cs="Arial" w:eastAsia="Arial" w:hAnsi="Arial"/>
        </w:rPr>
        <w:t xml:space="preserve">In scope (MVP)</w:t>
      </w:r>
    </w:p>
    <w:p>
      <w:pPr>
        <w:pStyle w:val="ListParagraph"/>
        <w:numPr>
          <w:ilvl w:val="0"/>
          <w:numId w:val="2"/>
        </w:numPr>
        <w:spacing w:after="70"/>
      </w:pPr>
      <w:r>
        <w:rPr>
          <w:rFonts w:ascii="Arial" w:cs="Arial" w:eastAsia="Arial" w:hAnsi="Arial"/>
        </w:rPr>
        <w:t xml:space="preserve">IT asset inventory: laptops, desktops, monitors, phones, tablets, printers, servers.</w:t>
      </w:r>
    </w:p>
    <w:p>
      <w:pPr>
        <w:pStyle w:val="ListParagraph"/>
        <w:numPr>
          <w:ilvl w:val="0"/>
          <w:numId w:val="2"/>
        </w:numPr>
        <w:spacing w:after="70"/>
      </w:pPr>
      <w:r>
        <w:rPr>
          <w:rFonts w:ascii="Arial" w:cs="Arial" w:eastAsia="Arial" w:hAnsi="Arial"/>
        </w:rPr>
        <w:t xml:space="preserve">Data-centre electricity consumption (annual kWh) with country grid factors.</w:t>
      </w:r>
    </w:p>
    <w:p>
      <w:pPr>
        <w:pStyle w:val="ListParagraph"/>
        <w:numPr>
          <w:ilvl w:val="0"/>
          <w:numId w:val="2"/>
        </w:numPr>
        <w:spacing w:after="70"/>
      </w:pPr>
      <w:r>
        <w:rPr>
          <w:rFonts w:ascii="Arial" w:cs="Arial" w:eastAsia="Arial" w:hAnsi="Arial"/>
        </w:rPr>
        <w:t xml:space="preserve">Cloud provider-reported emissions (AWS, Azure, GCP) treated as Scope 3.</w:t>
      </w:r>
    </w:p>
    <w:p>
      <w:pPr>
        <w:pStyle w:val="ListParagraph"/>
        <w:numPr>
          <w:ilvl w:val="0"/>
          <w:numId w:val="2"/>
        </w:numPr>
        <w:spacing w:after="70"/>
      </w:pPr>
      <w:r>
        <w:rPr>
          <w:rFonts w:ascii="Arial" w:cs="Arial" w:eastAsia="Arial" w:hAnsi="Arial"/>
        </w:rPr>
        <w:t xml:space="preserve">Scope 2 and Scope 3 reporting, per-employee intensity, and category breakdown.</w:t>
      </w:r>
    </w:p>
    <w:p>
      <w:pPr>
        <w:pStyle w:val="ListParagraph"/>
        <w:numPr>
          <w:ilvl w:val="0"/>
          <w:numId w:val="2"/>
        </w:numPr>
        <w:spacing w:after="70"/>
      </w:pPr>
      <w:r>
        <w:rPr>
          <w:rFonts w:ascii="Arial" w:cs="Arial" w:eastAsia="Arial" w:hAnsi="Arial"/>
        </w:rPr>
        <w:t xml:space="preserve">Source traceability, factor governance, Excel/PDF export, and an append-only audit trail.</w:t>
      </w:r>
    </w:p>
    <w:p>
      <w:pPr>
        <w:pStyle w:val="Heading3"/>
      </w:pPr>
      <w:r>
        <w:rPr>
          <w:rFonts w:ascii="Arial" w:cs="Arial" w:eastAsia="Arial" w:hAnsi="Arial"/>
        </w:rPr>
        <w:t xml:space="preserve">Out of scope (MVP)</w:t>
      </w:r>
    </w:p>
    <w:p>
      <w:pPr>
        <w:pStyle w:val="ListParagraph"/>
        <w:numPr>
          <w:ilvl w:val="0"/>
          <w:numId w:val="2"/>
        </w:numPr>
        <w:spacing w:after="70"/>
      </w:pPr>
      <w:r>
        <w:rPr>
          <w:rFonts w:ascii="Arial" w:cs="Arial" w:eastAsia="Arial" w:hAnsi="Arial"/>
        </w:rPr>
        <w:t xml:space="preserve">Full enterprise Scope 1/2/3 carbon accounting.</w:t>
      </w:r>
    </w:p>
    <w:p>
      <w:pPr>
        <w:pStyle w:val="ListParagraph"/>
        <w:numPr>
          <w:ilvl w:val="0"/>
          <w:numId w:val="2"/>
        </w:numPr>
        <w:spacing w:after="70"/>
      </w:pPr>
      <w:r>
        <w:rPr>
          <w:rFonts w:ascii="Arial" w:cs="Arial" w:eastAsia="Arial" w:hAnsi="Arial"/>
        </w:rPr>
        <w:t xml:space="preserve">Supplier portals and supplier-side primary data collection.</w:t>
      </w:r>
    </w:p>
    <w:p>
      <w:pPr>
        <w:pStyle w:val="ListParagraph"/>
        <w:numPr>
          <w:ilvl w:val="0"/>
          <w:numId w:val="2"/>
        </w:numPr>
        <w:spacing w:after="70"/>
      </w:pPr>
      <w:r>
        <w:rPr>
          <w:rFonts w:ascii="Arial" w:cs="Arial" w:eastAsia="Arial" w:hAnsi="Arial"/>
        </w:rPr>
        <w:t xml:space="preserve">Automated AWS/Azure/GCP API integrations and real-time grid intensity.</w:t>
      </w:r>
    </w:p>
    <w:p>
      <w:pPr>
        <w:pStyle w:val="ListParagraph"/>
        <w:numPr>
          <w:ilvl w:val="0"/>
          <w:numId w:val="2"/>
        </w:numPr>
        <w:spacing w:after="70"/>
      </w:pPr>
      <w:r>
        <w:rPr>
          <w:rFonts w:ascii="Arial" w:cs="Arial" w:eastAsia="Arial" w:hAnsi="Arial"/>
        </w:rPr>
        <w:t xml:space="preserve">Multi-step approval workflows and AI-driven reduction recommendations.</w:t>
      </w:r>
    </w:p>
    <w:p>
      <w:pPr>
        <w:pStyle w:val="Heading2"/>
      </w:pPr>
      <w:r>
        <w:rPr>
          <w:rFonts w:ascii="Arial" w:cs="Arial" w:eastAsia="Arial" w:hAnsi="Arial"/>
        </w:rPr>
        <w:t xml:space="preserve">1.4 Intended Audience</w:t>
      </w:r>
    </w:p>
    <w:p>
      <w:pPr>
        <w:pStyle w:val="ListParagraph"/>
        <w:numPr>
          <w:ilvl w:val="0"/>
          <w:numId w:val="2"/>
        </w:numPr>
        <w:spacing w:after="70"/>
      </w:pPr>
      <w:r>
        <w:rPr>
          <w:rFonts w:ascii="Arial" w:cs="Arial" w:eastAsia="Arial" w:hAnsi="Arial"/>
        </w:rPr>
        <w:t xml:space="preserve">Engineering team — implementing the frontend, backend engine, and data layer.</w:t>
      </w:r>
    </w:p>
    <w:p>
      <w:pPr>
        <w:pStyle w:val="ListParagraph"/>
        <w:numPr>
          <w:ilvl w:val="0"/>
          <w:numId w:val="2"/>
        </w:numPr>
        <w:spacing w:after="70"/>
      </w:pPr>
      <w:r>
        <w:rPr>
          <w:rFonts w:ascii="Arial" w:cs="Arial" w:eastAsia="Arial" w:hAnsi="Arial"/>
        </w:rPr>
        <w:t xml:space="preserve">Methodology and assurance reviewers — validating calculation correctness and reproducibility.</w:t>
      </w:r>
    </w:p>
    <w:p>
      <w:pPr>
        <w:pStyle w:val="ListParagraph"/>
        <w:numPr>
          <w:ilvl w:val="0"/>
          <w:numId w:val="2"/>
        </w:numPr>
        <w:spacing w:after="70"/>
      </w:pPr>
      <w:r>
        <w:rPr>
          <w:rFonts w:ascii="Arial" w:cs="Arial" w:eastAsia="Arial" w:hAnsi="Arial"/>
        </w:rPr>
        <w:t xml:space="preserve">Product owner — managing scope, roadmap, and acceptance.</w:t>
      </w:r>
    </w:p>
    <w:p>
      <w:pPr>
        <w:pStyle w:val="ListParagraph"/>
        <w:numPr>
          <w:ilvl w:val="0"/>
          <w:numId w:val="2"/>
        </w:numPr>
        <w:spacing w:after="70"/>
      </w:pPr>
      <w:r>
        <w:rPr>
          <w:rFonts w:ascii="Arial" w:cs="Arial" w:eastAsia="Arial" w:hAnsi="Arial"/>
        </w:rPr>
        <w:t xml:space="preserve">Platform/operations — provisioning and operating the Azure environment.</w:t>
      </w:r>
    </w:p>
    <w:p>
      <w:pPr>
        <w:pStyle w:val="Heading2"/>
      </w:pPr>
      <w:r>
        <w:rPr>
          <w:rFonts w:ascii="Arial" w:cs="Arial" w:eastAsia="Arial" w:hAnsi="Arial"/>
        </w:rPr>
        <w:t xml:space="preserve">1.5 Definitions &amp;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Term</w:t>
            </w:r>
          </w:p>
        </w:tc>
        <w:tc>
          <w:tcPr>
            <w:tcW w:type="dxa" w:w="67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Definition</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Carbon footprint</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Greenhouse-gas emissions from an activity, expressed as kgCO₂e or tCO₂e (1 tCO₂e = 1,000 kgCO₂e).</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CO₂e (equivalent)</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Common measure converting different greenhouse gases into a CO₂-equivalent value.</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Activity data</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Quantitative measure of an activity, e.g. 100 laptops, 50,000 kWh, 100 cloud VM hours.</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Emission factor</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kgCO₂e per unit of activity, e.g. 0.209 kgCO₂e/kWh for UK grid electricity.</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Scope 1</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Direct emissions from owned/controlled sources (vehicles, boilers, on-site fuel).</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Scope 2</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Indirect emissions from purchased electricity, heat, steam, cooling.</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Scope 3</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Indirect value-chain emissions (manufacturing, cloud, transport, purchased goods).</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gwp_total</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Cradle-to-grave global warming potential of a device, in kgCO₂e per unit.</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use / manufacturing ratio</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Split of a device's lifecycle emissions between in-use electricity and embodied manufacturing.</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Country factor</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Grid electricity emission factor (kgCO₂e/kWh) for a given country and reporting year.</w:t>
            </w:r>
          </w:p>
        </w:tc>
      </w:tr>
    </w:tbl>
    <w:p>
      <w:pPr>
        <w:pStyle w:val="Heading2"/>
      </w:pPr>
      <w:r>
        <w:rPr>
          <w:rFonts w:ascii="Arial" w:cs="Arial" w:eastAsia="Arial" w:hAnsi="Arial"/>
        </w:rPr>
        <w:t xml:space="preserve">1.6 References</w:t>
      </w:r>
    </w:p>
    <w:p>
      <w:pPr>
        <w:pStyle w:val="ListParagraph"/>
        <w:numPr>
          <w:ilvl w:val="0"/>
          <w:numId w:val="2"/>
        </w:numPr>
        <w:spacing w:after="70"/>
      </w:pPr>
      <w:r>
        <w:rPr>
          <w:rFonts w:ascii="Arial" w:cs="Arial" w:eastAsia="Arial" w:hAnsi="Arial"/>
        </w:rPr>
        <w:t xml:space="preserve">GHG Protocol — Corporate Standard (Scope 1/2/3 definitions and accounting concepts).</w:t>
      </w:r>
    </w:p>
    <w:p>
      <w:pPr>
        <w:pStyle w:val="ListParagraph"/>
        <w:numPr>
          <w:ilvl w:val="0"/>
          <w:numId w:val="2"/>
        </w:numPr>
        <w:spacing w:after="70"/>
      </w:pPr>
      <w:r>
        <w:rPr>
          <w:rFonts w:ascii="Arial" w:cs="Arial" w:eastAsia="Arial" w:hAnsi="Arial"/>
        </w:rPr>
        <w:t xml:space="preserve">Boavizta — ICT/digital environmental impact data and API (primary device-level factors).</w:t>
      </w:r>
    </w:p>
    <w:p>
      <w:pPr>
        <w:pStyle w:val="ListParagraph"/>
        <w:numPr>
          <w:ilvl w:val="0"/>
          <w:numId w:val="2"/>
        </w:numPr>
        <w:spacing w:after="70"/>
      </w:pPr>
      <w:r>
        <w:rPr>
          <w:rFonts w:ascii="Arial" w:cs="Arial" w:eastAsia="Arial" w:hAnsi="Arial"/>
        </w:rPr>
        <w:t xml:space="preserve">ADEME / Base Empreinte — public emission factor database (generic category fallback).</w:t>
      </w:r>
    </w:p>
    <w:p>
      <w:pPr>
        <w:pStyle w:val="ListParagraph"/>
        <w:numPr>
          <w:ilvl w:val="0"/>
          <w:numId w:val="2"/>
        </w:numPr>
        <w:spacing w:after="70"/>
      </w:pPr>
      <w:r>
        <w:rPr>
          <w:rFonts w:ascii="Arial" w:cs="Arial" w:eastAsia="Arial" w:hAnsi="Arial"/>
        </w:rPr>
        <w:t xml:space="preserve">UK Government greenhouse gas conversion factors (annual UK electricity, fuels, transport).</w:t>
      </w:r>
    </w:p>
    <w:p>
      <w:pPr>
        <w:pStyle w:val="ListParagraph"/>
        <w:numPr>
          <w:ilvl w:val="0"/>
          <w:numId w:val="2"/>
        </w:numPr>
        <w:spacing w:after="70"/>
      </w:pPr>
      <w:r>
        <w:rPr>
          <w:rFonts w:ascii="Arial" w:cs="Arial" w:eastAsia="Arial" w:hAnsi="Arial"/>
        </w:rPr>
        <w:t xml:space="preserve">Cloud provider sustainability reports — AWS, Microsoft, Google customer carbon tooling.</w:t>
      </w:r>
    </w:p>
    <w:p>
      <w:pPr>
        <w:pStyle w:val="ListParagraph"/>
        <w:numPr>
          <w:ilvl w:val="0"/>
          <w:numId w:val="2"/>
        </w:numPr>
        <w:spacing w:after="70"/>
      </w:pPr>
      <w:r>
        <w:rPr>
          <w:rFonts w:ascii="Arial" w:cs="Arial" w:eastAsia="Arial" w:hAnsi="Arial"/>
        </w:rPr>
        <w:t xml:space="preserve">KPMG GreenPath IT Carbon Footprint Calculator workbook (golden test cases and formulas).</w:t>
      </w:r>
    </w:p>
    <w:p>
      <w:pPr>
        <w:pStyle w:val="Heading1"/>
      </w:pPr>
      <w:r>
        <w:rPr>
          <w:rFonts w:ascii="Arial" w:cs="Arial" w:eastAsia="Arial" w:hAnsi="Arial"/>
        </w:rPr>
        <w:t xml:space="preserve">2. System Overview &amp; Context</w:t>
      </w:r>
    </w:p>
    <w:p>
      <w:pPr>
        <w:spacing w:after="140" w:line="276"/>
        <w:jc w:val="both"/>
      </w:pPr>
      <w:r>
        <w:rPr>
          <w:rFonts w:ascii="Arial" w:cs="Arial" w:eastAsia="Arial" w:hAnsi="Arial"/>
        </w:rPr>
        <w:t xml:space="preserve">A credible carbon calculator is fundamentally a math engine plus governed source data plus traceable results. The UI is the least interesting component. Every number the system produces must answer five questions: what input created me, what factor did I use, what formula did I use, what source did I come from, and what assumption changed me?</w:t>
      </w:r>
    </w:p>
    <w:p>
      <w:pPr>
        <w:spacing w:after="140" w:line="276"/>
        <w:jc w:val="both"/>
      </w:pPr>
      <w:r>
        <w:rPr>
          <w:rFonts w:ascii="Arial" w:cs="Arial" w:eastAsia="Arial" w:hAnsi="Arial"/>
        </w:rPr>
        <w:t xml:space="preserve">The product is positioned as a planning tool, not a science tool. A KPMG consultant should be able to complete an assessment for a single reporting year and produce a defensible PDF/Excel report — covering devices, data-centre electricity, and cloud emissions, with full factor traceability — in under an hour, without needing to understand carbon accounting internals.</w:t>
      </w:r>
    </w:p>
    <w:p>
      <w:pPr>
        <w:pStyle w:val="Heading2"/>
      </w:pPr>
      <w:r>
        <w:rPr>
          <w:rFonts w:ascii="Arial" w:cs="Arial" w:eastAsia="Arial" w:hAnsi="Arial"/>
        </w:rPr>
        <w:t xml:space="preserve">2.1 System Context</w:t>
      </w:r>
    </w:p>
    <w:p>
      <w:pPr>
        <w:spacing w:after="140" w:line="276"/>
        <w:jc w:val="both"/>
      </w:pPr>
      <w:r>
        <w:rPr>
          <w:rFonts w:ascii="Arial" w:cs="Arial" w:eastAsia="Arial" w:hAnsi="Arial"/>
        </w:rPr>
        <w:t xml:space="preserve">The calculator sits between the people who run assessments and the governed datasets that make those assessments defensible. Consultants and admins provide inputs; reviewers and clients consume traceable outputs; external datasets and the Azure platform supply factors, identity, storage, and telemetry.</w:t>
      </w:r>
    </w:p>
    <w:p>
      <w:pPr>
        <w:spacing w:after="40" w:before="120"/>
        <w:jc w:val="center"/>
      </w:pPr>
      <w:r>
        <w:drawing>
          <wp:inline distT="0" distB="0" distL="0" distR="0">
            <wp:extent cx="5715000" cy="3810000"/>
            <wp:effectExtent t="0" r="0" b="0" l="0"/>
            <wp:docPr id="1" name="sad_context.png" descr="Figure 1 — System context: actors, external data sources, and platform services." title="Figure 1 — System context: actors, external data sources, and platfor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20" w:before="60"/>
        <w:jc w:val="center"/>
      </w:pPr>
      <w:r>
        <w:rPr>
          <w:rFonts w:ascii="Arial" w:cs="Arial" w:eastAsia="Arial" w:hAnsi="Arial"/>
          <w:i/>
          <w:iCs/>
          <w:color w:val="6B7280"/>
          <w:sz w:val="17"/>
          <w:szCs w:val="17"/>
        </w:rPr>
        <w:t xml:space="preserve">Figure 1 — System context: actors, external data sources, and platform services.</w:t>
      </w:r>
    </w:p>
    <w:p>
      <w:pPr>
        <w:pStyle w:val="Heading2"/>
      </w:pPr>
      <w:r>
        <w:rPr>
          <w:rFonts w:ascii="Arial" w:cs="Arial" w:eastAsia="Arial" w:hAnsi="Arial"/>
        </w:rPr>
        <w:t xml:space="preserve">2.2 Guiding Insight</w:t>
      </w:r>
    </w:p>
    <w:p>
      <w:pPr>
        <w:spacing w:after="140" w:line="276"/>
        <w:jc w:val="both"/>
      </w:pPr>
      <w:r>
        <w:rPr>
          <w:rFonts w:ascii="Arial" w:cs="Arial" w:eastAsia="Arial" w:hAnsi="Arial"/>
        </w:rPr>
        <w:t xml:space="preserve">For IT estates, Scope 3 (device manufacturing) typically dominates Scope 2 (electricity in use) — often by an order of magnitude. This is why lifecycle extension, refurbishment, and procurement choices are the largest reduction levers, and why the system must store both the use and manufacturing ratios explicitly and expose assumption levers in the report.</w:t>
      </w:r>
    </w:p>
    <w:p>
      <w:pPr>
        <w:pStyle w:val="Heading1"/>
      </w:pPr>
      <w:r>
        <w:rPr>
          <w:rFonts w:ascii="Arial" w:cs="Arial" w:eastAsia="Arial" w:hAnsi="Arial"/>
        </w:rPr>
        <w:t xml:space="preserve">3. Stakeholder Analysis</w:t>
      </w:r>
    </w:p>
    <w:p>
      <w:pPr>
        <w:spacing w:after="140" w:line="276"/>
        <w:jc w:val="both"/>
      </w:pPr>
      <w:r>
        <w:rPr>
          <w:rFonts w:ascii="Arial" w:cs="Arial" w:eastAsia="Arial" w:hAnsi="Arial"/>
        </w:rPr>
        <w:t xml:space="preserve">The system serves five primary stakeholder groups. Their differing needs drive the functional and non-functional requirements that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tblHeader/>
        </w:trPr>
        <w:tc>
          <w:tcPr>
            <w:tcW w:type="dxa" w:w="23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Stakeholder</w:t>
            </w:r>
          </w:p>
        </w:tc>
        <w:tc>
          <w:tcPr>
            <w:tcW w:type="dxa" w:w="3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Primary need</w:t>
            </w:r>
          </w:p>
        </w:tc>
        <w:tc>
          <w:tcPr>
            <w:tcW w:type="dxa" w:w="34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Key concern</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KPMG consultant</w:t>
            </w:r>
          </w:p>
        </w:tc>
        <w:tc>
          <w:tcPr>
            <w:tcW w:type="dxa" w:w="3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Complete an assessment quickly and produce a defensible report</w:t>
            </w:r>
          </w:p>
        </w:tc>
        <w:tc>
          <w:tcPr>
            <w:tcW w:type="dxa" w:w="34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Speed, clarity, confidence in numbers</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Client organisation</w:t>
            </w:r>
          </w:p>
        </w:tc>
        <w:tc>
          <w:tcPr>
            <w:tcW w:type="dxa" w:w="3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Understand its IT carbon footprint and reduction levers</w:t>
            </w:r>
          </w:p>
        </w:tc>
        <w:tc>
          <w:tcPr>
            <w:tcW w:type="dxa" w:w="34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Trust, readability, actionable drivers</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Methodology / assurance reviewer</w:t>
            </w:r>
          </w:p>
        </w:tc>
        <w:tc>
          <w:tcPr>
            <w:tcW w:type="dxa" w:w="3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Reproduce any line item independently</w:t>
            </w:r>
          </w:p>
        </w:tc>
        <w:tc>
          <w:tcPr>
            <w:tcW w:type="dxa" w:w="34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Determinism, traceability, versioning</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 admin</w:t>
            </w:r>
          </w:p>
        </w:tc>
        <w:tc>
          <w:tcPr>
            <w:tcW w:type="dxa" w:w="3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Govern and version emission-factor datasets</w:t>
            </w:r>
          </w:p>
        </w:tc>
        <w:tc>
          <w:tcPr>
            <w:tcW w:type="dxa" w:w="34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Validation, immutability, auditability</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Platform / operations</w:t>
            </w:r>
          </w:p>
        </w:tc>
        <w:tc>
          <w:tcPr>
            <w:tcW w:type="dxa" w:w="3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Operate the service reliably and securely</w:t>
            </w:r>
          </w:p>
        </w:tc>
        <w:tc>
          <w:tcPr>
            <w:tcW w:type="dxa" w:w="34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Identity, observability, cost, resilience</w:t>
            </w:r>
          </w:p>
        </w:tc>
      </w:tr>
    </w:tbl>
    <w:p>
      <w:pPr>
        <w:pStyle w:val="Heading1"/>
      </w:pPr>
      <w:r>
        <w:rPr>
          <w:rFonts w:ascii="Arial" w:cs="Arial" w:eastAsia="Arial" w:hAnsi="Arial"/>
        </w:rPr>
        <w:t xml:space="preserve">4. Functional Requirements</w:t>
      </w:r>
    </w:p>
    <w:p>
      <w:pPr>
        <w:spacing w:after="140" w:line="276"/>
        <w:jc w:val="both"/>
      </w:pPr>
      <w:r>
        <w:rPr>
          <w:rFonts w:ascii="Arial" w:cs="Arial" w:eastAsia="Arial" w:hAnsi="Arial"/>
        </w:rPr>
        <w:t xml:space="preserve">Functional requirements are organised by backend module. Each requirement has a stable identifier (FR-x). The calculation engine is the heart of the system and is specified in additional detail.</w:t>
      </w:r>
    </w:p>
    <w:p>
      <w:pPr>
        <w:pStyle w:val="Heading2"/>
      </w:pPr>
      <w:r>
        <w:rPr>
          <w:rFonts w:ascii="Arial" w:cs="Arial" w:eastAsia="Arial" w:hAnsi="Arial"/>
        </w:rPr>
        <w:t xml:space="preserve">4.1 Authentication &amp; 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ID</w:t>
            </w:r>
          </w:p>
        </w:tc>
        <w:tc>
          <w:tcPr>
            <w:tcW w:type="dxa" w:w="82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Requirement</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Authenticate users via Microsoft Entra ID (OAuth2/OIDC) with SSO.</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FR-2</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Enforce role-based access control and inject a dependency-validated user context per request.</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FR-3</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Scope all data access to the user's organisation (tenant).</w:t>
            </w:r>
          </w:p>
        </w:tc>
      </w:tr>
    </w:tbl>
    <w:p>
      <w:pPr>
        <w:pStyle w:val="Heading2"/>
      </w:pPr>
      <w:r>
        <w:rPr>
          <w:rFonts w:ascii="Arial" w:cs="Arial" w:eastAsia="Arial" w:hAnsi="Arial"/>
        </w:rPr>
        <w:t xml:space="preserve">4.2 Organisations &amp;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ID</w:t>
            </w:r>
          </w:p>
        </w:tc>
        <w:tc>
          <w:tcPr>
            <w:tcW w:type="dxa" w:w="82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Requirement</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FR-4</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Create and manage organisations and their membership.</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FR-5</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Create an assessment for one organisation and reporting year (name, country, employee count).</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FR-6</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Manage assessment lifecycle: draft → submitted → published.</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FR-7</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Pin each assessment to an immutable factor set and assumption set at calculation time.</w:t>
            </w:r>
          </w:p>
        </w:tc>
      </w:tr>
    </w:tbl>
    <w:p>
      <w:pPr>
        <w:pStyle w:val="Heading2"/>
      </w:pPr>
      <w:r>
        <w:rPr>
          <w:rFonts w:ascii="Arial" w:cs="Arial" w:eastAsia="Arial" w:hAnsi="Arial"/>
        </w:rPr>
        <w:t xml:space="preserve">4.3 Asset Inventory &amp; Factor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ID</w:t>
            </w:r>
          </w:p>
        </w:tc>
        <w:tc>
          <w:tcPr>
            <w:tcW w:type="dxa" w:w="82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Requirement</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FR-8</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Capture IT asset rows: category, model, quantity, lifespan, reconditioning rate, notes.</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FR-9</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Match each row to an emission factor server-side on write using a confidence-aware hierarchy.</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FR-10</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Persist and display the match confidence (exact / high / estimated / manual) on every row.</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FR-11</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Show a row-level calculated footprint and a calculation-details drawer per row.</w:t>
            </w:r>
          </w:p>
        </w:tc>
      </w:tr>
    </w:tbl>
    <w:p>
      <w:pPr>
        <w:pStyle w:val="Heading3"/>
      </w:pPr>
      <w:r>
        <w:rPr>
          <w:rFonts w:ascii="Arial" w:cs="Arial" w:eastAsia="Arial" w:hAnsi="Arial"/>
        </w:rPr>
        <w:t xml:space="preserve">Factor matching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rPr>
          <w:tblHeader/>
        </w:trPr>
        <w:tc>
          <w:tcPr>
            <w:tcW w:type="dxa" w:w="9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Level</w:t>
            </w:r>
          </w:p>
        </w:tc>
        <w:tc>
          <w:tcPr>
            <w:tcW w:type="dxa" w:w="6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Strategy</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Stored confidence</w:t>
            </w:r>
          </w:p>
        </w:tc>
      </w:tr>
      <w:tr>
        <w:tc>
          <w:tcPr>
            <w:tcW w:type="dxa" w:w="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w:t>
            </w:r>
          </w:p>
        </w:tc>
        <w:tc>
          <w:tcPr>
            <w:tcW w:type="dxa" w:w="6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Exact model match</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Exact</w:t>
            </w:r>
          </w:p>
        </w:tc>
      </w:tr>
      <w:tr>
        <w:tc>
          <w:tcPr>
            <w:tcW w:type="dxa" w:w="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w:t>
            </w:r>
          </w:p>
        </w:tc>
        <w:tc>
          <w:tcPr>
            <w:tcW w:type="dxa" w:w="6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Manufacturer + model fuzzy match</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High</w:t>
            </w:r>
          </w:p>
        </w:tc>
      </w:tr>
      <w:tr>
        <w:tc>
          <w:tcPr>
            <w:tcW w:type="dxa" w:w="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3</w:t>
            </w:r>
          </w:p>
        </w:tc>
        <w:tc>
          <w:tcPr>
            <w:tcW w:type="dxa" w:w="6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Category + tier fallback (e.g. laptop / mid-range)</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Estimated</w:t>
            </w:r>
          </w:p>
        </w:tc>
      </w:tr>
      <w:tr>
        <w:tc>
          <w:tcPr>
            <w:tcW w:type="dxa" w:w="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4</w:t>
            </w:r>
          </w:p>
        </w:tc>
        <w:tc>
          <w:tcPr>
            <w:tcW w:type="dxa" w:w="6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ADEME generic category fallback</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Estimated</w:t>
            </w:r>
          </w:p>
        </w:tc>
      </w:tr>
      <w:tr>
        <w:tc>
          <w:tcPr>
            <w:tcW w:type="dxa" w:w="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5</w:t>
            </w:r>
          </w:p>
        </w:tc>
        <w:tc>
          <w:tcPr>
            <w:tcW w:type="dxa" w:w="6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Manual factor entry by user/admin</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Manual</w:t>
            </w:r>
          </w:p>
        </w:tc>
      </w:tr>
    </w:tbl>
    <w:p>
      <w:pPr>
        <w:pStyle w:val="Heading2"/>
      </w:pPr>
      <w:r>
        <w:rPr>
          <w:rFonts w:ascii="Arial" w:cs="Arial" w:eastAsia="Arial" w:hAnsi="Arial"/>
        </w:rPr>
        <w:t xml:space="preserve">4.4 Calculation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ID</w:t>
            </w:r>
          </w:p>
        </w:tc>
        <w:tc>
          <w:tcPr>
            <w:tcW w:type="dxa" w:w="82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Requirement</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FR-12</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Run the engine server-side; the frontend never computes footprints.</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FR-13</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Compute per-device use (Scope 2) and manufacturing (Scope 3) emissions, data-centre electricity, and cloud emissions.</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FR-14</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Refuse to multiply mismatched units; every factor carries an explicit unit.</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FR-15</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Persist each result with the factor version, assumption set, and formula version used.</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FR-16</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Be idempotent: hash(inputs + factor_set + assumption_set) ⇒ stable output.</w:t>
            </w:r>
          </w:p>
        </w:tc>
      </w:tr>
    </w:tbl>
    <w:p>
      <w:pPr>
        <w:pStyle w:val="Heading3"/>
      </w:pPr>
      <w:r>
        <w:rPr>
          <w:rFonts w:ascii="Arial" w:cs="Arial" w:eastAsia="Arial" w:hAnsi="Arial"/>
        </w:rPr>
        <w:t xml:space="preserve">Core formula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Annual footprint = annual_use_emissions + annual_manufacturing_emissions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Scope 2 / Use           = quantity * gwp_total * use_ratio</w:t>
            </w:r>
          </w:p>
          <w:p>
            <w:pPr>
              <w:spacing w:after="0" w:line="240"/>
            </w:pPr>
            <w:r>
              <w:rPr>
                <w:rFonts w:ascii="Consolas" w:cs="Consolas" w:eastAsia="Consolas" w:hAnsi="Consolas"/>
                <w:sz w:val="18"/>
                <w:szCs w:val="18"/>
              </w:rPr>
              <w:t xml:space="preserve">                          * country_factor / lifespan</w:t>
            </w:r>
          </w:p>
          <w:p>
            <w:pPr>
              <w:spacing w:after="0" w:line="240"/>
            </w:pPr>
            <w:r>
              <w:rPr>
                <w:rFonts w:ascii="Consolas" w:cs="Consolas" w:eastAsia="Consolas" w:hAnsi="Consolas"/>
                <w:sz w:val="18"/>
                <w:szCs w:val="18"/>
              </w:rPr>
              <w:t xml:space="preserve">Scope 3 / Manufacturing = quantity * gwp_total * manufacturing_ratio</w:t>
            </w:r>
          </w:p>
          <w:p>
            <w:pPr>
              <w:spacing w:after="0" w:line="240"/>
            </w:pPr>
            <w:r>
              <w:rPr>
                <w:rFonts w:ascii="Consolas" w:cs="Consolas" w:eastAsia="Consolas" w:hAnsi="Consolas"/>
                <w:sz w:val="18"/>
                <w:szCs w:val="18"/>
              </w:rPr>
              <w:t xml:space="preserve">                          * (1 - reconditioning_rate</w:t>
            </w:r>
          </w:p>
          <w:p>
            <w:pPr>
              <w:spacing w:after="0" w:line="240"/>
            </w:pPr>
            <w:r>
              <w:rPr>
                <w:rFonts w:ascii="Consolas" w:cs="Consolas" w:eastAsia="Consolas" w:hAnsi="Consolas"/>
                <w:sz w:val="18"/>
                <w:szCs w:val="18"/>
              </w:rPr>
              <w:t xml:space="preserve">                                 * reconditioning_benefit_factor)</w:t>
            </w:r>
          </w:p>
          <w:p>
            <w:pPr>
              <w:spacing w:after="0" w:line="240"/>
            </w:pPr>
            <w:r>
              <w:rPr>
                <w:rFonts w:ascii="Consolas" w:cs="Consolas" w:eastAsia="Consolas" w:hAnsi="Consolas"/>
                <w:sz w:val="18"/>
                <w:szCs w:val="18"/>
              </w:rPr>
              <w:t xml:space="preserve">                          / lifespan</w:t>
            </w:r>
          </w:p>
          <w:p>
            <w:pPr>
              <w:spacing w:after="0" w:line="240"/>
            </w:pPr>
            <w:r>
              <w:rPr>
                <w:rFonts w:ascii="Consolas" w:cs="Consolas" w:eastAsia="Consolas" w:hAnsi="Consolas"/>
                <w:sz w:val="18"/>
                <w:szCs w:val="18"/>
              </w:rPr>
              <w:t xml:space="preserve">Data centre             = annual_kWh * country_electricity_factor</w:t>
            </w:r>
          </w:p>
          <w:p>
            <w:pPr>
              <w:spacing w:after="0" w:line="240"/>
            </w:pPr>
            <w:r>
              <w:rPr>
                <w:rFonts w:ascii="Consolas" w:cs="Consolas" w:eastAsia="Consolas" w:hAnsi="Consolas"/>
                <w:sz w:val="18"/>
                <w:szCs w:val="18"/>
              </w:rPr>
              <w:t xml:space="preserve">Cloud                   = sum(provider_reported_kgCO2e)</w:t>
            </w:r>
          </w:p>
          <w:p>
            <w:pPr>
              <w:spacing w:after="0" w:line="240"/>
            </w:pPr>
            <w:r>
              <w:rPr>
                <w:rFonts w:ascii="Consolas" w:cs="Consolas" w:eastAsia="Consolas" w:hAnsi="Consolas"/>
                <w:sz w:val="18"/>
                <w:szCs w:val="18"/>
              </w:rPr>
              <w:t xml:space="preserve">Total                   = sum(device totals) + data_centre + cloud</w:t>
            </w:r>
          </w:p>
        </w:tc>
      </w:tr>
    </w:tbl>
    <w:p>
      <w:pPr>
        <w:spacing w:after="80"/>
      </w:pPr>
      <w:r>
        <w:rPr>
          <w:rFonts w:ascii="Arial" w:cs="Arial" w:eastAsia="Arial" w:hAnsi="Arial"/>
        </w:rPr>
        <w:t xml:space="preserve"/>
      </w:r>
    </w:p>
    <w:p>
      <w:pPr>
        <w:pStyle w:val="Heading3"/>
      </w:pPr>
      <w:r>
        <w:rPr>
          <w:rFonts w:ascii="Arial" w:cs="Arial" w:eastAsia="Arial" w:hAnsi="Arial"/>
        </w:rPr>
        <w:t xml:space="preserve">Worked example — single device line</w:t>
      </w:r>
    </w:p>
    <w:p>
      <w:pPr>
        <w:spacing w:after="140" w:line="276"/>
        <w:jc w:val="both"/>
      </w:pPr>
      <w:r>
        <w:rPr>
          <w:rFonts w:ascii="Arial" w:cs="Arial" w:eastAsia="Arial" w:hAnsi="Arial"/>
        </w:rPr>
        <w:t xml:space="preserve">Ten laptops, gwp_total = 300 kgCO₂e/device, use_ratio = 0.20, manufacturing_ratio = 0.80, UK country factor = 0.209 kgCO₂e/kWh, lifespan = 4 years, reconditioning_rate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Use           = 10 * 300 * 0.20 * 0.209 / 4 =  31.35 kgCO2e/year</w:t>
            </w:r>
          </w:p>
          <w:p>
            <w:pPr>
              <w:spacing w:after="0" w:line="240"/>
            </w:pPr>
            <w:r>
              <w:rPr>
                <w:rFonts w:ascii="Consolas" w:cs="Consolas" w:eastAsia="Consolas" w:hAnsi="Consolas"/>
                <w:sz w:val="18"/>
                <w:szCs w:val="18"/>
              </w:rPr>
              <w:t xml:space="preserve">Manufacturing = 10 * 300 * 0.80 * 1     / 4 = 600.00 kgCO2e/year</w:t>
            </w:r>
          </w:p>
          <w:p>
            <w:pPr>
              <w:spacing w:after="0" w:line="240"/>
            </w:pPr>
            <w:r>
              <w:rPr>
                <w:rFonts w:ascii="Consolas" w:cs="Consolas" w:eastAsia="Consolas" w:hAnsi="Consolas"/>
                <w:sz w:val="18"/>
                <w:szCs w:val="18"/>
              </w:rPr>
              <w:t xml:space="preserve">Total                                       = 631.35 kgCO2e/year</w:t>
            </w:r>
          </w:p>
        </w:tc>
      </w:tr>
    </w:tbl>
    <w:p>
      <w:pPr>
        <w:spacing w:after="140" w:before="80"/>
        <w:jc w:val="both"/>
      </w:pPr>
      <w:r>
        <w:rPr>
          <w:rFonts w:ascii="Arial" w:cs="Arial" w:eastAsia="Arial" w:hAnsi="Arial"/>
        </w:rPr>
        <w:t xml:space="preserve">Manufacturing dominates by roughly 19×. For IT footprints, procurement, lifespan extension, and refurbishment are the biggest reduction levers — which is exactly what the assumption levers must expose in the report.</w:t>
      </w:r>
    </w:p>
    <w:p>
      <w:pPr>
        <w:pStyle w:val="Heading2"/>
      </w:pPr>
      <w:r>
        <w:rPr>
          <w:rFonts w:ascii="Arial" w:cs="Arial" w:eastAsia="Arial" w:hAnsi="Arial"/>
        </w:rPr>
        <w:t xml:space="preserve">4.5 Reporting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ID</w:t>
            </w:r>
          </w:p>
        </w:tc>
        <w:tc>
          <w:tcPr>
            <w:tcW w:type="dxa" w:w="82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Requirement</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FR-17</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Generate a PDF report (ReportLab) and an Excel report (openpyxl), stored in Azure Blob.</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FR-18</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Include executive summary, totals, scope split, category breakdown, top drivers, and per-employee intensity.</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FR-19</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Include methodology, assumptions, source data, limitations, and a full row-level audit appendix.</w:t>
            </w:r>
          </w:p>
        </w:tc>
      </w:tr>
    </w:tbl>
    <w:p>
      <w:pPr>
        <w:pStyle w:val="Heading2"/>
      </w:pPr>
      <w:r>
        <w:rPr>
          <w:rFonts w:ascii="Arial" w:cs="Arial" w:eastAsia="Arial" w:hAnsi="Arial"/>
        </w:rPr>
        <w:t xml:space="preserve">4.6 Audit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ID</w:t>
            </w:r>
          </w:p>
        </w:tc>
        <w:tc>
          <w:tcPr>
            <w:tcW w:type="dxa" w:w="82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Requirement</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FR-20</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Write an append-only audit log capturing actor, entity, action, and before/after state.</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FR-21</w:t>
            </w:r>
          </w:p>
        </w:tc>
        <w:tc>
          <w:tcPr>
            <w:tcW w:type="dxa" w:w="8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Provide an admin-only factor import pipeline (CSV/JSON) with validation and a pre-commit diff.</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FR-22</w:t>
            </w:r>
          </w:p>
        </w:tc>
        <w:tc>
          <w:tcPr>
            <w:tcW w:type="dxa" w:w="8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Publish each accepted import as a new immutable factor set; existing assessments stay pinned.</w:t>
            </w:r>
          </w:p>
        </w:tc>
      </w:tr>
    </w:tbl>
    <w:p>
      <w:pPr>
        <w:pStyle w:val="Heading1"/>
      </w:pPr>
      <w:r>
        <w:rPr>
          <w:rFonts w:ascii="Arial" w:cs="Arial" w:eastAsia="Arial" w:hAnsi="Arial"/>
        </w:rPr>
        <w:t xml:space="preserve">5. Use Cases &amp; User Journey</w:t>
      </w:r>
    </w:p>
    <w:p>
      <w:pPr>
        <w:pStyle w:val="Heading2"/>
      </w:pPr>
      <w:r>
        <w:rPr>
          <w:rFonts w:ascii="Arial" w:cs="Arial" w:eastAsia="Arial" w:hAnsi="Arial"/>
        </w:rPr>
        <w:t xml:space="preserve">5.1 Recommended Eight-Step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Step</w:t>
            </w:r>
          </w:p>
        </w:tc>
        <w:tc>
          <w:tcPr>
            <w:tcW w:type="dxa" w:w="2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Screen</w:t>
            </w:r>
          </w:p>
        </w:tc>
        <w:tc>
          <w:tcPr>
            <w:tcW w:type="dxa" w:w="59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User action</w:t>
            </w:r>
          </w:p>
        </w:tc>
      </w:tr>
      <w:tr>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Create assessment</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Name the assessment (e.g. “FY2026 IT Carbon Footprint”)</w:t>
            </w:r>
          </w:p>
        </w:tc>
      </w:tr>
      <w:tr>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w:t>
            </w:r>
          </w:p>
        </w:tc>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General inputs</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Pick country and reporting year</w:t>
            </w:r>
          </w:p>
        </w:tc>
      </w:tr>
      <w:tr>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3</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General inputs</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Enter number of employees (per-employee metric)</w:t>
            </w:r>
          </w:p>
        </w:tc>
      </w:tr>
      <w:tr>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4</w:t>
            </w:r>
          </w:p>
        </w:tc>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Asset inventory</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Add IT assets (laptops, desktops, monitors, phones, tablets, printers, servers)</w:t>
            </w:r>
          </w:p>
        </w:tc>
      </w:tr>
      <w:tr>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5</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Electricity / data centre</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Enter annual kWh consumed by the data centre / IT load</w:t>
            </w:r>
          </w:p>
        </w:tc>
      </w:tr>
      <w:tr>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6</w:t>
            </w:r>
          </w:p>
        </w:tc>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Cloud emissions</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Paste provider-reported kgCO₂e (AWS, Azure, GCP)</w:t>
            </w:r>
          </w:p>
        </w:tc>
      </w:tr>
      <w:tr>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7</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Results dashboard</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Review total, scope split, top drivers, per-employee</w:t>
            </w:r>
          </w:p>
        </w:tc>
      </w:tr>
      <w:tr>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8</w:t>
            </w:r>
          </w:p>
        </w:tc>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Export report</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Generate PDF / Excel with full traceability appendix</w:t>
            </w:r>
          </w:p>
        </w:tc>
      </w:tr>
    </w:tbl>
    <w:p>
      <w:pPr>
        <w:spacing w:after="40" w:before="120"/>
        <w:jc w:val="center"/>
      </w:pPr>
      <w:r>
        <w:drawing>
          <wp:inline distT="0" distB="0" distL="0" distR="0">
            <wp:extent cx="5334000" cy="3771900"/>
            <wp:effectExtent t="0" r="0" b="0" l="0"/>
            <wp:docPr id="1" name="sad_journey.png" descr="Figure 2 — The eight-step assessment journey; target time-to-first-result ≤ 60 minutes." title="Figure 2 — The eight-step assessment journey; target time-to-first-result ≤ 60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71900"/>
                    </a:xfrm>
                    <a:prstGeom prst="rect">
                      <a:avLst/>
                    </a:prstGeom>
                  </pic:spPr>
                </pic:pic>
              </a:graphicData>
            </a:graphic>
          </wp:inline>
        </w:drawing>
      </w:r>
    </w:p>
    <w:p>
      <w:pPr>
        <w:spacing w:after="220" w:before="60"/>
        <w:jc w:val="center"/>
      </w:pPr>
      <w:r>
        <w:rPr>
          <w:rFonts w:ascii="Arial" w:cs="Arial" w:eastAsia="Arial" w:hAnsi="Arial"/>
          <w:i/>
          <w:iCs/>
          <w:color w:val="6B7280"/>
          <w:sz w:val="17"/>
          <w:szCs w:val="17"/>
        </w:rPr>
        <w:t xml:space="preserve">Figure 2 — The eight-step assessment journey; target time-to-first-result ≤ 60 minutes.</w:t>
      </w:r>
    </w:p>
    <w:p>
      <w:pPr>
        <w:pStyle w:val="Heading2"/>
      </w:pPr>
      <w:r>
        <w:rPr>
          <w:rFonts w:ascii="Arial" w:cs="Arial" w:eastAsia="Arial" w:hAnsi="Arial"/>
        </w:rPr>
        <w:t xml:space="preserve">5.2 Use Case: Run an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Field</w:t>
            </w:r>
          </w:p>
        </w:tc>
        <w:tc>
          <w:tcPr>
            <w:tcW w:type="dxa" w:w="71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Detail</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Actor</w:t>
            </w:r>
          </w:p>
        </w:tc>
        <w:tc>
          <w:tcPr>
            <w:tcW w:type="dxa" w:w="7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KPMG consultant</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Pre-conditions</w:t>
            </w:r>
          </w:p>
        </w:tc>
        <w:tc>
          <w:tcPr>
            <w:tcW w:type="dxa" w:w="7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Authenticated; organisation exists; a published factor set and assumption set are available</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Trigger</w:t>
            </w:r>
          </w:p>
        </w:tc>
        <w:tc>
          <w:tcPr>
            <w:tcW w:type="dxa" w:w="7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Consultant creates an assessment and enters inventory, electricity, and cloud data</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Main flow</w:t>
            </w:r>
          </w:p>
        </w:tc>
        <w:tc>
          <w:tcPr>
            <w:tcW w:type="dxa" w:w="7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 Create assessment → 2) enter general inputs → 3) add inventory (server matches factors) → 4) enter kWh → 5) paste cloud emissions → 6) run /calculate → 7) review dashboard</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Post-conditions</w:t>
            </w:r>
          </w:p>
        </w:tc>
        <w:tc>
          <w:tcPr>
            <w:tcW w:type="dxa" w:w="7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 rows persisted with pinned versions; audit_log written</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Alternate flows</w:t>
            </w:r>
          </w:p>
        </w:tc>
        <w:tc>
          <w:tcPr>
            <w:tcW w:type="dxa" w:w="7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Estimated/manual factor matches flagged; draft can be re-run idempotently</w:t>
            </w:r>
          </w:p>
        </w:tc>
      </w:tr>
    </w:tbl>
    <w:p>
      <w:pPr>
        <w:pStyle w:val="Heading2"/>
      </w:pPr>
      <w:r>
        <w:rPr>
          <w:rFonts w:ascii="Arial" w:cs="Arial" w:eastAsia="Arial" w:hAnsi="Arial"/>
        </w:rPr>
        <w:t xml:space="preserve">5.3 Use Case: Import a Factor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Field</w:t>
            </w:r>
          </w:p>
        </w:tc>
        <w:tc>
          <w:tcPr>
            <w:tcW w:type="dxa" w:w="71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Detail</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Actor</w:t>
            </w:r>
          </w:p>
        </w:tc>
        <w:tc>
          <w:tcPr>
            <w:tcW w:type="dxa" w:w="7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 admin</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Pre-conditions</w:t>
            </w:r>
          </w:p>
        </w:tc>
        <w:tc>
          <w:tcPr>
            <w:tcW w:type="dxa" w:w="7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Admin role; signed CSV/JSON factor file prepared</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Main flow</w:t>
            </w:r>
          </w:p>
        </w:tc>
        <w:tc>
          <w:tcPr>
            <w:tcW w:type="dxa" w:w="7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 Upload file to Blob → 2) pipeline validates → 3) diff vs. existing set rendered → 4) admin commits → 5) new immutable factor set published</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Post-conditions</w:t>
            </w:r>
          </w:p>
        </w:tc>
        <w:tc>
          <w:tcPr>
            <w:tcW w:type="dxa" w:w="7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New factor_set_id available; historical assessments remain pinned to prior versions</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Exceptions</w:t>
            </w:r>
          </w:p>
        </w:tc>
        <w:tc>
          <w:tcPr>
            <w:tcW w:type="dxa" w:w="7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Validation failure (missing names, duplicate IDs, bad units, ratios ≠ 1.0) blocks commit</w:t>
            </w:r>
          </w:p>
        </w:tc>
      </w:tr>
    </w:tbl>
    <w:p>
      <w:pPr>
        <w:pStyle w:val="Heading2"/>
      </w:pPr>
      <w:r>
        <w:rPr>
          <w:rFonts w:ascii="Arial" w:cs="Arial" w:eastAsia="Arial" w:hAnsi="Arial"/>
        </w:rPr>
        <w:t xml:space="preserve">5.4 Use Case: Export a Traceable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Field</w:t>
            </w:r>
          </w:p>
        </w:tc>
        <w:tc>
          <w:tcPr>
            <w:tcW w:type="dxa" w:w="71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Detail</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Actor</w:t>
            </w:r>
          </w:p>
        </w:tc>
        <w:tc>
          <w:tcPr>
            <w:tcW w:type="dxa" w:w="7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Consultant / reviewer</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Pre-conditions</w:t>
            </w:r>
          </w:p>
        </w:tc>
        <w:tc>
          <w:tcPr>
            <w:tcW w:type="dxa" w:w="7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An assessment has calculation results</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Main flow</w:t>
            </w:r>
          </w:p>
        </w:tc>
        <w:tc>
          <w:tcPr>
            <w:tcW w:type="dxa" w:w="7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 Request export → 2) backend renders PDF/Excel → 3) artefact stored in Blob → 4) signed URL returned</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Post-conditions</w:t>
            </w:r>
          </w:p>
        </w:tc>
        <w:tc>
          <w:tcPr>
            <w:tcW w:type="dxa" w:w="7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Report includes methodology, assumptions, source data, limitations, and audit appendix</w:t>
            </w:r>
          </w:p>
        </w:tc>
      </w:tr>
    </w:tbl>
    <w:p>
      <w:pPr>
        <w:pStyle w:val="Heading1"/>
      </w:pPr>
      <w:r>
        <w:rPr>
          <w:rFonts w:ascii="Arial" w:cs="Arial" w:eastAsia="Arial" w:hAnsi="Arial"/>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ID</w:t>
            </w:r>
          </w:p>
        </w:tc>
        <w:tc>
          <w:tcPr>
            <w:tcW w:type="dxa" w:w="19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Category</w:t>
            </w:r>
          </w:p>
        </w:tc>
        <w:tc>
          <w:tcPr>
            <w:tcW w:type="dxa" w:w="65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Requirement &amp; target</w:t>
            </w:r>
          </w:p>
        </w:tc>
      </w:tr>
      <w:tr>
        <w:tc>
          <w:tcPr>
            <w:tcW w:type="dxa" w:w="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NFR-1</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Determinism</w:t>
            </w:r>
          </w:p>
        </w:tc>
        <w:tc>
          <w:tcPr>
            <w:tcW w:type="dxa" w:w="65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Same inputs + factor versions + assumption versions ⇒ byte-identical outputs (regression-testable).</w:t>
            </w:r>
          </w:p>
        </w:tc>
      </w:tr>
      <w:tr>
        <w:tc>
          <w:tcPr>
            <w:tcW w:type="dxa" w:w="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NFR-2</w:t>
            </w:r>
          </w:p>
        </w:tc>
        <w:tc>
          <w:tcPr>
            <w:tcW w:type="dxa" w:w="1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Traceability</w:t>
            </w:r>
          </w:p>
        </w:tc>
        <w:tc>
          <w:tcPr>
            <w:tcW w:type="dxa" w:w="65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100% of result rows link to a source_reference and pinned factor/assumption/formula versions.</w:t>
            </w:r>
          </w:p>
        </w:tc>
      </w:tr>
      <w:tr>
        <w:tc>
          <w:tcPr>
            <w:tcW w:type="dxa" w:w="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NFR-3</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Performance</w:t>
            </w:r>
          </w:p>
        </w:tc>
        <w:tc>
          <w:tcPr>
            <w:tcW w:type="dxa" w:w="65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Time-to-first-result ≤ 60 minutes for a new client; engine runs in-request (fast).</w:t>
            </w:r>
          </w:p>
        </w:tc>
      </w:tr>
      <w:tr>
        <w:tc>
          <w:tcPr>
            <w:tcW w:type="dxa" w:w="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NFR-4</w:t>
            </w:r>
          </w:p>
        </w:tc>
        <w:tc>
          <w:tcPr>
            <w:tcW w:type="dxa" w:w="1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Reproducibility</w:t>
            </w:r>
          </w:p>
        </w:tc>
        <w:tc>
          <w:tcPr>
            <w:tcW w:type="dxa" w:w="65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An external reviewer can independently reproduce any line item.</w:t>
            </w:r>
          </w:p>
        </w:tc>
      </w:tr>
      <w:tr>
        <w:tc>
          <w:tcPr>
            <w:tcW w:type="dxa" w:w="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NFR-5</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Security</w:t>
            </w:r>
          </w:p>
        </w:tc>
        <w:tc>
          <w:tcPr>
            <w:tcW w:type="dxa" w:w="65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Entra ID SSO, RBAC, conditional access; tenant-isolated data.</w:t>
            </w:r>
          </w:p>
        </w:tc>
      </w:tr>
      <w:tr>
        <w:tc>
          <w:tcPr>
            <w:tcW w:type="dxa" w:w="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NFR-6</w:t>
            </w:r>
          </w:p>
        </w:tc>
        <w:tc>
          <w:tcPr>
            <w:tcW w:type="dxa" w:w="1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Auditability</w:t>
            </w:r>
          </w:p>
        </w:tc>
        <w:tc>
          <w:tcPr>
            <w:tcW w:type="dxa" w:w="65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Append-only audit log with before/after; drafts vs. published; reviewer sign-off to publish.</w:t>
            </w:r>
          </w:p>
        </w:tc>
      </w:tr>
      <w:tr>
        <w:tc>
          <w:tcPr>
            <w:tcW w:type="dxa" w:w="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NFR-7</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Observability</w:t>
            </w:r>
          </w:p>
        </w:tc>
        <w:tc>
          <w:tcPr>
            <w:tcW w:type="dxa" w:w="65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 Insights + OpenTelemetry traces show which factor_version each calculation used.</w:t>
            </w:r>
          </w:p>
        </w:tc>
      </w:tr>
      <w:tr>
        <w:tc>
          <w:tcPr>
            <w:tcW w:type="dxa" w:w="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NFR-8</w:t>
            </w:r>
          </w:p>
        </w:tc>
        <w:tc>
          <w:tcPr>
            <w:tcW w:type="dxa" w:w="1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Portability</w:t>
            </w:r>
          </w:p>
        </w:tc>
        <w:tc>
          <w:tcPr>
            <w:tcW w:type="dxa" w:w="65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SPA served as static assets via Blob + CDN; report rendered server-side.</w:t>
            </w:r>
          </w:p>
        </w:tc>
      </w:tr>
      <w:tr>
        <w:tc>
          <w:tcPr>
            <w:tcW w:type="dxa" w:w="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NFR-9</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Maintainability</w:t>
            </w:r>
          </w:p>
        </w:tc>
        <w:tc>
          <w:tcPr>
            <w:tcW w:type="dxa" w:w="65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Engine is pure, fully unit-tested Python; factors are data, never code.</w:t>
            </w:r>
          </w:p>
        </w:tc>
      </w:tr>
      <w:tr>
        <w:tc>
          <w:tcPr>
            <w:tcW w:type="dxa" w:w="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NFR-10</w:t>
            </w:r>
          </w:p>
        </w:tc>
        <w:tc>
          <w:tcPr>
            <w:tcW w:type="dxa" w:w="1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Data quality</w:t>
            </w:r>
          </w:p>
        </w:tc>
        <w:tc>
          <w:tcPr>
            <w:tcW w:type="dxa" w:w="65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Match confidence persisted per row; estimated rows flagged in the report limitations.</w:t>
            </w:r>
          </w:p>
        </w:tc>
      </w:tr>
    </w:tbl>
    <w:p>
      <w:pPr>
        <w:pStyle w:val="Heading1"/>
      </w:pPr>
      <w:r>
        <w:rPr>
          <w:rFonts w:ascii="Arial" w:cs="Arial" w:eastAsia="Arial" w:hAnsi="Arial"/>
        </w:rPr>
        <w:t xml:space="preserve">7. System Architecture Analysis</w:t>
      </w:r>
    </w:p>
    <w:p>
      <w:pPr>
        <w:pStyle w:val="Heading2"/>
      </w:pPr>
      <w:r>
        <w:rPr>
          <w:rFonts w:ascii="Arial" w:cs="Arial" w:eastAsia="Arial" w:hAnsi="Arial"/>
        </w:rPr>
        <w:t xml:space="preserve">7.1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Layer</w:t>
            </w:r>
          </w:p>
        </w:tc>
        <w:tc>
          <w:tcPr>
            <w:tcW w:type="dxa" w:w="2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Choice</w:t>
            </w:r>
          </w:p>
        </w:tc>
        <w:tc>
          <w:tcPr>
            <w:tcW w:type="dxa" w:w="5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Rationale</w:t>
            </w:r>
          </w:p>
        </w:tc>
      </w:tr>
      <w:tr>
        <w:tc>
          <w:tcPr>
            <w:tcW w:type="dxa" w:w="1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Frontend</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React 18 + Vite + TypeScript</w:t>
            </w:r>
          </w:p>
        </w:tc>
        <w:tc>
          <w:tcPr>
            <w:tcW w:type="dxa" w:w="5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SPA served as static assets from Azure Blob + CDN; no SSR needed because the report is rendered server-side as PDF/Excel.</w:t>
            </w:r>
          </w:p>
        </w:tc>
      </w:tr>
      <w:tr>
        <w:tc>
          <w:tcPr>
            <w:tcW w:type="dxa" w:w="1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Backend</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Python 3.12 + FastAPI + Pydantic v2</w:t>
            </w:r>
          </w:p>
        </w:tc>
        <w:tc>
          <w:tcPr>
            <w:tcW w:type="dxa" w:w="5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Pydantic enforces unit/source/factor metadata at the type level; FastAPI emits OpenAPI; pandas/pyarrow for imports and golden diffs.</w:t>
            </w:r>
          </w:p>
        </w:tc>
      </w:tr>
      <w:tr>
        <w:tc>
          <w:tcPr>
            <w:tcW w:type="dxa" w:w="1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Database</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PostgreSQL 16 (Azure)</w:t>
            </w:r>
          </w:p>
        </w:tc>
        <w:tc>
          <w:tcPr>
            <w:tcW w:type="dxa" w:w="5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JSONB for source metadata; deterministic SQL factor lookups; strong constraints; SQLAlchemy 2.x + Alembic.</w:t>
            </w:r>
          </w:p>
        </w:tc>
      </w:tr>
      <w:tr>
        <w:tc>
          <w:tcPr>
            <w:tcW w:type="dxa" w:w="1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Object storage</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Azure Blob Storage</w:t>
            </w:r>
          </w:p>
        </w:tc>
        <w:tc>
          <w:tcPr>
            <w:tcW w:type="dxa" w:w="5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Generated PDF/Excel reports, factor import files, evidence attachments.</w:t>
            </w:r>
          </w:p>
        </w:tc>
      </w:tr>
      <w:tr>
        <w:tc>
          <w:tcPr>
            <w:tcW w:type="dxa" w:w="1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Identity</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Microsoft Entra ID</w:t>
            </w:r>
          </w:p>
        </w:tc>
        <w:tc>
          <w:tcPr>
            <w:tcW w:type="dxa" w:w="5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Aligns with KPMG tenanting; SSO, RBAC, conditional access out of the box.</w:t>
            </w:r>
          </w:p>
        </w:tc>
      </w:tr>
      <w:tr>
        <w:tc>
          <w:tcPr>
            <w:tcW w:type="dxa" w:w="1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Queue (optional)</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Azure Service Bus</w:t>
            </w:r>
          </w:p>
        </w:tc>
        <w:tc>
          <w:tcPr>
            <w:tcW w:type="dxa" w:w="5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Async report generation; the engine itself runs in-request.</w:t>
            </w:r>
          </w:p>
        </w:tc>
      </w:tr>
      <w:tr>
        <w:tc>
          <w:tcPr>
            <w:tcW w:type="dxa" w:w="1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Observability</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 Insights + OpenTelemetry</w:t>
            </w:r>
          </w:p>
        </w:tc>
        <w:tc>
          <w:tcPr>
            <w:tcW w:type="dxa" w:w="5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Distributed traces show which factor_version each calculation used.</w:t>
            </w:r>
          </w:p>
        </w:tc>
      </w:tr>
    </w:tbl>
    <w:p>
      <w:pPr>
        <w:pStyle w:val="Heading2"/>
      </w:pPr>
      <w:r>
        <w:rPr>
          <w:rFonts w:ascii="Arial" w:cs="Arial" w:eastAsia="Arial" w:hAnsi="Arial"/>
        </w:rPr>
        <w:t xml:space="preserve">7.2 Key Decision</w:t>
      </w:r>
    </w:p>
    <w:p>
      <w:pPr>
        <w:spacing w:after="140" w:line="276"/>
        <w:jc w:val="both"/>
      </w:pPr>
      <w:r>
        <w:rPr>
          <w:rFonts w:ascii="Arial" w:cs="Arial" w:eastAsia="Arial" w:hAnsi="Arial"/>
        </w:rPr>
        <w:t xml:space="preserve">FastAPI is chosen over NestJS for the backend. The hard problems are factor governance, unit-safe schemas, and golden-case validation against the existing Excel workbook — all of which the Python ecosystem (Pydantic v2, pandas, pyarrow, openpyxl) handles directly. The frontend is plain React + Vite rather than Next.js because the report is rendered server-side as PDF/Excel, so there is nothing for SSR to do.</w:t>
      </w:r>
    </w:p>
    <w:p>
      <w:pPr>
        <w:pStyle w:val="Heading2"/>
      </w:pPr>
      <w:r>
        <w:rPr>
          <w:rFonts w:ascii="Arial" w:cs="Arial" w:eastAsia="Arial" w:hAnsi="Arial"/>
        </w:rPr>
        <w:t xml:space="preserve">7.3 Backend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Module</w:t>
            </w:r>
          </w:p>
        </w:tc>
        <w:tc>
          <w:tcPr>
            <w:tcW w:type="dxa" w:w="69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Responsibility</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app.auth</w:t>
            </w:r>
          </w:p>
        </w:tc>
        <w:tc>
          <w:tcPr>
            <w:tcW w:type="dxa" w:w="6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Entra ID OAuth via Authlib/MSAL, JWT validation, injected user context</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app.organisations</w:t>
            </w:r>
          </w:p>
        </w:tc>
        <w:tc>
          <w:tcPr>
            <w:tcW w:type="dxa" w:w="6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Tenant CRUD and membership</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app.assessments</w:t>
            </w:r>
          </w:p>
        </w:tc>
        <w:tc>
          <w:tcPr>
            <w:tcW w:type="dxa" w:w="6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 lifecycle (draft → submitted → published)</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app.inventory</w:t>
            </w:r>
          </w:p>
        </w:tc>
        <w:tc>
          <w:tcPr>
            <w:tcW w:type="dxa" w:w="6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Asset inventory CRUD; factor match on write</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app.factors</w:t>
            </w:r>
          </w:p>
        </w:tc>
        <w:tc>
          <w:tcPr>
            <w:tcW w:type="dxa" w:w="6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Read-only factor catalogue and country grid factors</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app.calculations</w:t>
            </w:r>
          </w:p>
        </w:tc>
        <w:tc>
          <w:tcPr>
            <w:tcW w:type="dxa" w:w="6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The deterministic engine; pure Python, fully unit-tested</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app.reports</w:t>
            </w:r>
          </w:p>
        </w:tc>
        <w:tc>
          <w:tcPr>
            <w:tcW w:type="dxa" w:w="6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PDF (ReportLab) / Excel (openpyxl) rendering; export to Blob</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app.audit</w:t>
            </w:r>
          </w:p>
        </w:tc>
        <w:tc>
          <w:tcPr>
            <w:tcW w:type="dxa" w:w="6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Append-only event log writer/reader</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app.admin</w:t>
            </w:r>
          </w:p>
        </w:tc>
        <w:tc>
          <w:tcPr>
            <w:tcW w:type="dxa" w:w="6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 imports (pandas), assumption versioning, methodology locking</w:t>
            </w:r>
          </w:p>
        </w:tc>
      </w:tr>
    </w:tbl>
    <w:p>
      <w:pPr>
        <w:pStyle w:val="Heading2"/>
      </w:pPr>
      <w:r>
        <w:rPr>
          <w:rFonts w:ascii="Arial" w:cs="Arial" w:eastAsia="Arial" w:hAnsi="Arial"/>
        </w:rPr>
        <w:t xml:space="preserve">7.4 Architecture &amp; Deployment View</w:t>
      </w:r>
    </w:p>
    <w:p>
      <w:pPr>
        <w:spacing w:after="40" w:before="120"/>
        <w:jc w:val="center"/>
      </w:pPr>
      <w:r>
        <w:drawing>
          <wp:inline distT="0" distB="0" distL="0" distR="0">
            <wp:extent cx="5715000" cy="4286250"/>
            <wp:effectExtent t="0" r="0" b="0" l="0"/>
            <wp:docPr id="1" name="sad_architecture.png" descr="Figure 3 — Layered architecture and Azure deployment topology." title="Figure 3 — Layered architecture and Azure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86250"/>
                    </a:xfrm>
                    <a:prstGeom prst="rect">
                      <a:avLst/>
                    </a:prstGeom>
                  </pic:spPr>
                </pic:pic>
              </a:graphicData>
            </a:graphic>
          </wp:inline>
        </w:drawing>
      </w:r>
    </w:p>
    <w:p>
      <w:pPr>
        <w:spacing w:after="220" w:before="60"/>
        <w:jc w:val="center"/>
      </w:pPr>
      <w:r>
        <w:rPr>
          <w:rFonts w:ascii="Arial" w:cs="Arial" w:eastAsia="Arial" w:hAnsi="Arial"/>
          <w:i/>
          <w:iCs/>
          <w:color w:val="6B7280"/>
          <w:sz w:val="17"/>
          <w:szCs w:val="17"/>
        </w:rPr>
        <w:t xml:space="preserve">Figure 3 — Layered architecture and Azure deployment topology.</w:t>
      </w:r>
    </w:p>
    <w:p>
      <w:pPr>
        <w:pStyle w:val="Heading1"/>
      </w:pPr>
      <w:r>
        <w:rPr>
          <w:rFonts w:ascii="Arial" w:cs="Arial" w:eastAsia="Arial" w:hAnsi="Arial"/>
        </w:rPr>
        <w:t xml:space="preserve">8. Data Flow Analysis</w:t>
      </w:r>
    </w:p>
    <w:p>
      <w:pPr>
        <w:spacing w:after="140" w:line="276"/>
        <w:jc w:val="both"/>
      </w:pPr>
      <w:r>
        <w:rPr>
          <w:rFonts w:ascii="Arial" w:cs="Arial" w:eastAsia="Arial" w:hAnsi="Arial"/>
        </w:rPr>
        <w:t xml:space="preserve">Inputs and factors travel along a deliberately one-directional path: user inputs are matched to governed factors, the engine computes results, results and audit events are persisted immutably, and the report is rendered from persisted results. Crucially, inputs and factors are never colocated, so a historical assessment can be re-run against a different factor version.</w:t>
      </w:r>
    </w:p>
    <w:p>
      <w:pPr>
        <w:spacing w:after="40" w:before="120"/>
        <w:jc w:val="center"/>
      </w:pPr>
      <w:r>
        <w:drawing>
          <wp:inline distT="0" distB="0" distL="0" distR="0">
            <wp:extent cx="5715000" cy="3571875"/>
            <wp:effectExtent t="0" r="0" b="0" l="0"/>
            <wp:docPr id="1" name="sad_dfd.png" descr="Figure 4 — Level-1 data flow from inputs through the engine to persisted, traceable results." title="Figure 4 — Level-1 data flow from inputs through the engine to persisted, traceabl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before="60"/>
        <w:jc w:val="center"/>
      </w:pPr>
      <w:r>
        <w:rPr>
          <w:rFonts w:ascii="Arial" w:cs="Arial" w:eastAsia="Arial" w:hAnsi="Arial"/>
          <w:i/>
          <w:iCs/>
          <w:color w:val="6B7280"/>
          <w:sz w:val="17"/>
          <w:szCs w:val="17"/>
        </w:rPr>
        <w:t xml:space="preserve">Figure 4 — Level-1 data flow from inputs through the engine to persisted, traceable results.</w:t>
      </w:r>
    </w:p>
    <w:p>
      <w:pPr>
        <w:pStyle w:val="Heading2"/>
      </w:pPr>
      <w:r>
        <w:rPr>
          <w:rFonts w:ascii="Arial" w:cs="Arial" w:eastAsia="Arial" w:hAnsi="Arial"/>
        </w:rPr>
        <w:t xml:space="preserve">8.1 Idempotency</w:t>
      </w:r>
    </w:p>
    <w:p>
      <w:pPr>
        <w:spacing w:after="140" w:line="276"/>
        <w:jc w:val="both"/>
      </w:pPr>
      <w:r>
        <w:rPr>
          <w:rFonts w:ascii="Arial" w:cs="Arial" w:eastAsia="Arial" w:hAnsi="Arial"/>
        </w:rPr>
        <w:t xml:space="preserve">The /calculate operation is idempotent on (assessment_id, factor_set_id, assumption_set_id, inputs_hash). The same inputs always yield the same outputs; this property is also the regression-test surface used against the KPMG golden cases.</w:t>
      </w:r>
    </w:p>
    <w:p>
      <w:pPr>
        <w:pStyle w:val="Heading1"/>
      </w:pPr>
      <w:r>
        <w:rPr>
          <w:rFonts w:ascii="Arial" w:cs="Arial" w:eastAsia="Arial" w:hAnsi="Arial"/>
        </w:rPr>
        <w:t xml:space="preserve">9. Interface Analysis</w:t>
      </w:r>
    </w:p>
    <w:p>
      <w:pPr>
        <w:pStyle w:val="Heading2"/>
      </w:pPr>
      <w:r>
        <w:rPr>
          <w:rFonts w:ascii="Arial" w:cs="Arial" w:eastAsia="Arial" w:hAnsi="Arial"/>
        </w:rPr>
        <w:t xml:space="preserve">9.1 REST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rPr>
          <w:tblHeader/>
        </w:trPr>
        <w:tc>
          <w:tcPr>
            <w:tcW w:type="dxa" w:w="1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Method</w:t>
            </w:r>
          </w:p>
        </w:tc>
        <w:tc>
          <w:tcPr>
            <w:tcW w:type="dxa" w:w="3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Path</w:t>
            </w:r>
          </w:p>
        </w:tc>
        <w:tc>
          <w:tcPr>
            <w:tcW w:type="dxa" w:w="48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Purpose</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w:t>
            </w:r>
          </w:p>
        </w:tc>
        <w:tc>
          <w:tcPr>
            <w:tcW w:type="dxa" w:w="3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/assessments</w:t>
            </w:r>
          </w:p>
        </w:tc>
        <w:tc>
          <w:tcPr>
            <w:tcW w:type="dxa" w:w="48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Create assessment (org, reporting year, country, employees)</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GET</w:t>
            </w:r>
          </w:p>
        </w:tc>
        <w:tc>
          <w:tcPr>
            <w:tcW w:type="dxa" w:w="3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/assessments/:id</w:t>
            </w:r>
          </w:p>
        </w:tc>
        <w:tc>
          <w:tcPr>
            <w:tcW w:type="dxa" w:w="48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Read assessment with pinned factor/assumption versions</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w:t>
            </w:r>
          </w:p>
        </w:tc>
        <w:tc>
          <w:tcPr>
            <w:tcW w:type="dxa" w:w="3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/assessments/:id/inventory</w:t>
            </w:r>
          </w:p>
        </w:tc>
        <w:tc>
          <w:tcPr>
            <w:tcW w:type="dxa" w:w="48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Upsert asset inventory rows (server matches factors)</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w:t>
            </w:r>
          </w:p>
        </w:tc>
        <w:tc>
          <w:tcPr>
            <w:tcW w:type="dxa" w:w="3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/assessments/:id/calculate</w:t>
            </w:r>
          </w:p>
        </w:tc>
        <w:tc>
          <w:tcPr>
            <w:tcW w:type="dxa" w:w="48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Run engine; persist calculation_result + audit_log</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GET</w:t>
            </w:r>
          </w:p>
        </w:tc>
        <w:tc>
          <w:tcPr>
            <w:tcW w:type="dxa" w:w="3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/assessments/:id/results</w:t>
            </w:r>
          </w:p>
        </w:tc>
        <w:tc>
          <w:tcPr>
            <w:tcW w:type="dxa" w:w="48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Read results (totals, scope split, per-employee, drivers)</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GET</w:t>
            </w:r>
          </w:p>
        </w:tc>
        <w:tc>
          <w:tcPr>
            <w:tcW w:type="dxa" w:w="3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/assessments/:id/export</w:t>
            </w:r>
          </w:p>
        </w:tc>
        <w:tc>
          <w:tcPr>
            <w:tcW w:type="dxa" w:w="48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Generate PDF/Excel report; return Blob URL</w:t>
            </w:r>
          </w:p>
        </w:tc>
      </w:tr>
      <w:tr>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GET</w:t>
            </w:r>
          </w:p>
        </w:tc>
        <w:tc>
          <w:tcPr>
            <w:tcW w:type="dxa" w:w="3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/factors</w:t>
            </w:r>
          </w:p>
        </w:tc>
        <w:tc>
          <w:tcPr>
            <w:tcW w:type="dxa" w:w="48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Browse factor catalogue (read-only; filter by source/year)</w:t>
            </w:r>
          </w:p>
        </w:tc>
      </w:tr>
      <w:tr>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w:t>
            </w:r>
          </w:p>
        </w:tc>
        <w:tc>
          <w:tcPr>
            <w:tcW w:type="dxa" w:w="3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/admin/factors/import</w:t>
            </w:r>
          </w:p>
        </w:tc>
        <w:tc>
          <w:tcPr>
            <w:tcW w:type="dxa" w:w="48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Admin-only: ingest a new factor set version</w:t>
            </w:r>
          </w:p>
        </w:tc>
      </w:tr>
    </w:tbl>
    <w:p>
      <w:pPr>
        <w:pStyle w:val="Heading2"/>
      </w:pPr>
      <w:r>
        <w:rPr>
          <w:rFonts w:ascii="Arial" w:cs="Arial" w:eastAsia="Arial" w:hAnsi="Arial"/>
        </w:rPr>
        <w:t xml:space="preserve">9.2 Admin Factor Import Pipeline</w:t>
      </w:r>
    </w:p>
    <w:p>
      <w:pPr>
        <w:pStyle w:val="ListParagraph"/>
        <w:numPr>
          <w:ilvl w:val="0"/>
          <w:numId w:val="3"/>
        </w:numPr>
        <w:spacing w:after="70"/>
      </w:pPr>
      <w:r>
        <w:rPr>
          <w:rFonts w:ascii="Arial" w:cs="Arial" w:eastAsia="Arial" w:hAnsi="Arial"/>
        </w:rPr>
        <w:t xml:space="preserve">Upload a signed CSV/JSON file to Azure Blob.</w:t>
      </w:r>
    </w:p>
    <w:p>
      <w:pPr>
        <w:pStyle w:val="ListParagraph"/>
        <w:numPr>
          <w:ilvl w:val="0"/>
          <w:numId w:val="3"/>
        </w:numPr>
        <w:spacing w:after="70"/>
      </w:pPr>
      <w:r>
        <w:rPr>
          <w:rFonts w:ascii="Arial" w:cs="Arial" w:eastAsia="Arial" w:hAnsi="Arial"/>
        </w:rPr>
        <w:t xml:space="preserve">Validate: no missing factor names, no duplicate IDs, valid units, ratios add to 1.0, no negative factors unless explicitly allowed.</w:t>
      </w:r>
    </w:p>
    <w:p>
      <w:pPr>
        <w:pStyle w:val="ListParagraph"/>
        <w:numPr>
          <w:ilvl w:val="0"/>
          <w:numId w:val="3"/>
        </w:numPr>
        <w:spacing w:after="70"/>
      </w:pPr>
      <w:r>
        <w:rPr>
          <w:rFonts w:ascii="Arial" w:cs="Arial" w:eastAsia="Arial" w:hAnsi="Arial"/>
        </w:rPr>
        <w:t xml:space="preserve">Render a diff versus the existing factor set before commit.</w:t>
      </w:r>
    </w:p>
    <w:p>
      <w:pPr>
        <w:pStyle w:val="ListParagraph"/>
        <w:numPr>
          <w:ilvl w:val="0"/>
          <w:numId w:val="3"/>
        </w:numPr>
        <w:spacing w:after="70"/>
      </w:pPr>
      <w:r>
        <w:rPr>
          <w:rFonts w:ascii="Arial" w:cs="Arial" w:eastAsia="Arial" w:hAnsi="Arial"/>
        </w:rPr>
        <w:t xml:space="preserve">On commit, publish a new immutable factor_set_id; existing assessments remain pinned to their original set.</w:t>
      </w:r>
    </w:p>
    <w:p>
      <w:pPr>
        <w:pStyle w:val="Heading2"/>
      </w:pPr>
      <w:r>
        <w:rPr>
          <w:rFonts w:ascii="Arial" w:cs="Arial" w:eastAsia="Arial" w:hAnsi="Arial"/>
        </w:rPr>
        <w:t xml:space="preserve">9.3 External Data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Source</w:t>
            </w:r>
          </w:p>
        </w:tc>
        <w:tc>
          <w:tcPr>
            <w:tcW w:type="dxa" w:w="33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Used for</w:t>
            </w:r>
          </w:p>
        </w:tc>
        <w:tc>
          <w:tcPr>
            <w:tcW w:type="dxa" w:w="38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Boundary</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Boavizta</w:t>
            </w:r>
          </w:p>
        </w:tc>
        <w:tc>
          <w:tcPr>
            <w:tcW w:type="dxa" w:w="3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Digital equipment / IT infrastructure factors</w:t>
            </w:r>
          </w:p>
        </w:tc>
        <w:tc>
          <w:tcPr>
            <w:tcW w:type="dxa" w:w="38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Cradle-to-grave, manufacturer-specific where available</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ADEME / Base Empreinte</w:t>
            </w:r>
          </w:p>
        </w:tc>
        <w:tc>
          <w:tcPr>
            <w:tcW w:type="dxa" w:w="3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Fallback when Boavizta has no match</w:t>
            </w:r>
          </w:p>
        </w:tc>
        <w:tc>
          <w:tcPr>
            <w:tcW w:type="dxa" w:w="38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France methodology, generic category fallback</w:t>
            </w:r>
          </w:p>
        </w:tc>
      </w:tr>
      <w:tr>
        <w:tc>
          <w:tcPr>
            <w:tcW w:type="dxa" w:w="2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UK Government factors</w:t>
            </w:r>
          </w:p>
        </w:tc>
        <w:tc>
          <w:tcPr>
            <w:tcW w:type="dxa" w:w="3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UK electricity, fuels, transport</w:t>
            </w:r>
          </w:p>
        </w:tc>
        <w:tc>
          <w:tcPr>
            <w:tcW w:type="dxa" w:w="38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Annual publication, country = UK</w:t>
            </w:r>
          </w:p>
        </w:tc>
      </w:tr>
      <w:tr>
        <w:tc>
          <w:tcPr>
            <w:tcW w:type="dxa" w:w="2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Cloud provider reports</w:t>
            </w:r>
          </w:p>
        </w:tc>
        <w:tc>
          <w:tcPr>
            <w:tcW w:type="dxa" w:w="3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AWS / Azure / GCP self-reported emissions</w:t>
            </w:r>
          </w:p>
        </w:tc>
        <w:tc>
          <w:tcPr>
            <w:tcW w:type="dxa" w:w="38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Provider-reported, treated as Scope 3</w:t>
            </w:r>
          </w:p>
        </w:tc>
      </w:tr>
    </w:tbl>
    <w:p>
      <w:pPr>
        <w:pStyle w:val="Heading1"/>
      </w:pPr>
      <w:r>
        <w:rPr>
          <w:rFonts w:ascii="Arial" w:cs="Arial" w:eastAsia="Arial" w:hAnsi="Arial"/>
        </w:rPr>
        <w:t xml:space="preserve">10. Constraints, Assumptions &amp; Dependencies</w:t>
      </w:r>
    </w:p>
    <w:p>
      <w:pPr>
        <w:pStyle w:val="ListParagraph"/>
        <w:numPr>
          <w:ilvl w:val="0"/>
          <w:numId w:val="2"/>
        </w:numPr>
        <w:spacing w:after="70"/>
      </w:pPr>
      <w:r>
        <w:rPr>
          <w:rFonts w:ascii="Arial" w:cs="Arial" w:eastAsia="Arial" w:hAnsi="Arial"/>
        </w:rPr>
        <w:t xml:space="preserve">The platform is Azure-native and uses Microsoft Entra ID for identity, aligning with KPMG tenanting.</w:t>
      </w:r>
    </w:p>
    <w:p>
      <w:pPr>
        <w:pStyle w:val="ListParagraph"/>
        <w:numPr>
          <w:ilvl w:val="0"/>
          <w:numId w:val="2"/>
        </w:numPr>
        <w:spacing w:after="70"/>
      </w:pPr>
      <w:r>
        <w:rPr>
          <w:rFonts w:ascii="Arial" w:cs="Arial" w:eastAsia="Arial" w:hAnsi="Arial"/>
        </w:rPr>
        <w:t xml:space="preserve">Emission factors, country factors, and assumptions are governed datasets, loaded via the admin pipeline — never edited by end users.</w:t>
      </w:r>
    </w:p>
    <w:p>
      <w:pPr>
        <w:pStyle w:val="ListParagraph"/>
        <w:numPr>
          <w:ilvl w:val="0"/>
          <w:numId w:val="2"/>
        </w:numPr>
        <w:spacing w:after="70"/>
      </w:pPr>
      <w:r>
        <w:rPr>
          <w:rFonts w:ascii="Arial" w:cs="Arial" w:eastAsia="Arial" w:hAnsi="Arial"/>
        </w:rPr>
        <w:t xml:space="preserve">Every published report references an immutable assumption set and factor set.</w:t>
      </w:r>
    </w:p>
    <w:p>
      <w:pPr>
        <w:pStyle w:val="ListParagraph"/>
        <w:numPr>
          <w:ilvl w:val="0"/>
          <w:numId w:val="2"/>
        </w:numPr>
        <w:spacing w:after="70"/>
      </w:pPr>
      <w:r>
        <w:rPr>
          <w:rFonts w:ascii="Arial" w:cs="Arial" w:eastAsia="Arial" w:hAnsi="Arial"/>
        </w:rPr>
        <w:t xml:space="preserve">MVP non-goals (full Scope 1/2/3 accounting, supplier portals, real-time grid intensity, AI advice) are explicitly excluded.</w:t>
      </w:r>
    </w:p>
    <w:p>
      <w:pPr>
        <w:pStyle w:val="ListParagraph"/>
        <w:numPr>
          <w:ilvl w:val="0"/>
          <w:numId w:val="2"/>
        </w:numPr>
        <w:spacing w:after="70"/>
      </w:pPr>
      <w:r>
        <w:rPr>
          <w:rFonts w:ascii="Arial" w:cs="Arial" w:eastAsia="Arial" w:hAnsi="Arial"/>
        </w:rPr>
        <w:t xml:space="preserve">Cloud providers may under-report Scope 3 in customer-facing reports; a manual override factor is permitted and documented.</w:t>
      </w:r>
    </w:p>
    <w:p>
      <w:pPr>
        <w:pStyle w:val="Heading1"/>
      </w:pPr>
      <w:r>
        <w:rPr>
          <w:rFonts w:ascii="Arial" w:cs="Arial" w:eastAsia="Arial" w:hAnsi="Arial"/>
        </w:rPr>
        <w:t xml:space="preserve">11. Risk Analysis &amp; Anti-patterns</w:t>
      </w:r>
    </w:p>
    <w:p>
      <w:pPr>
        <w:pStyle w:val="Heading2"/>
      </w:pPr>
      <w:r>
        <w:rPr>
          <w:rFonts w:ascii="Arial" w:cs="Arial" w:eastAsia="Arial" w:hAnsi="Arial"/>
        </w:rPr>
        <w:t xml:space="preserve">11.1 Prohibited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rPr>
          <w:tblHeader/>
        </w:trPr>
        <w:tc>
          <w:tcPr>
            <w:tcW w:type="dxa" w:w="5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w:t>
            </w:r>
          </w:p>
        </w:tc>
        <w:tc>
          <w:tcPr>
            <w:tcW w:type="dxa" w:w="29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Anti-pattern</w:t>
            </w:r>
          </w:p>
        </w:tc>
        <w:tc>
          <w:tcPr>
            <w:tcW w:type="dxa" w:w="59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What to do instead</w:t>
            </w:r>
          </w:p>
        </w:tc>
      </w:tr>
      <w:tr>
        <w:tc>
          <w:tcPr>
            <w:tcW w:type="dxa" w:w="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w:t>
            </w:r>
          </w:p>
        </w:tc>
        <w:tc>
          <w:tcPr>
            <w:tcW w:type="dxa" w:w="2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Copying the Excel cell-for-cell</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Extract the formula family and source data; design a clean engine. The Excel is a reference, not a target.</w:t>
            </w:r>
          </w:p>
        </w:tc>
      </w:tr>
      <w:tr>
        <w:tc>
          <w:tcPr>
            <w:tcW w:type="dxa" w:w="5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w:t>
            </w:r>
          </w:p>
        </w:tc>
        <w:tc>
          <w:tcPr>
            <w:tcW w:type="dxa" w:w="2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Hardcoding emission factors in code</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Store factors in country_factor / emission_factor tables with full metadata.</w:t>
            </w:r>
          </w:p>
        </w:tc>
      </w:tr>
      <w:tr>
        <w:tc>
          <w:tcPr>
            <w:tcW w:type="dxa" w:w="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3</w:t>
            </w:r>
          </w:p>
        </w:tc>
        <w:tc>
          <w:tcPr>
            <w:tcW w:type="dxa" w:w="2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Ignoring units</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Every factor row stores its unit; the engine refuses to multiply mismatched units.</w:t>
            </w:r>
          </w:p>
        </w:tc>
      </w:tr>
      <w:tr>
        <w:tc>
          <w:tcPr>
            <w:tcW w:type="dxa" w:w="5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4</w:t>
            </w:r>
          </w:p>
        </w:tc>
        <w:tc>
          <w:tcPr>
            <w:tcW w:type="dxa" w:w="2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No source traceability</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Every result row has a factor_id and source_reference; the report appendix lists them.</w:t>
            </w:r>
          </w:p>
        </w:tc>
      </w:tr>
      <w:tr>
        <w:tc>
          <w:tcPr>
            <w:tcW w:type="dxa" w:w="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5</w:t>
            </w:r>
          </w:p>
        </w:tc>
        <w:tc>
          <w:tcPr>
            <w:tcW w:type="dxa" w:w="2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No exact-vs-estimated distinction</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Persist match_confidence per row; UI badges it; the report flags estimated rows.</w:t>
            </w:r>
          </w:p>
        </w:tc>
      </w:tr>
    </w:tbl>
    <w:p>
      <w:pPr>
        <w:pStyle w:val="Heading2"/>
      </w:pPr>
      <w:r>
        <w:rPr>
          <w:rFonts w:ascii="Arial" w:cs="Arial" w:eastAsia="Arial" w:hAnsi="Arial"/>
        </w:rPr>
        <w:t xml:space="preserve">11.2 Other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100"/>
        <w:gridCol w:w="4060"/>
      </w:tblGrid>
      <w:tr>
        <w:trPr>
          <w:tblHeader/>
        </w:trPr>
        <w:tc>
          <w:tcPr>
            <w:tcW w:type="dxa" w:w="30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Risk</w:t>
            </w:r>
          </w:p>
        </w:tc>
        <w:tc>
          <w:tcPr>
            <w:tcW w:type="dxa" w:w="12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Likelihood</w:t>
            </w:r>
          </w:p>
        </w:tc>
        <w:tc>
          <w:tcPr>
            <w:tcW w:type="dxa" w:w="1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Impact</w:t>
            </w:r>
          </w:p>
        </w:tc>
        <w:tc>
          <w:tcPr>
            <w:tcW w:type="dxa" w:w="40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Mitigation</w:t>
            </w:r>
          </w:p>
        </w:tc>
      </w:tr>
      <w:tr>
        <w:tc>
          <w:tcPr>
            <w:tcW w:type="dxa" w:w="30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Boavizta dataset/API format changes</w:t>
            </w:r>
          </w:p>
        </w:tc>
        <w:tc>
          <w:tcPr>
            <w:tcW w:type="dxa" w:w="1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4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Versioned admin import pipeline; assessments pin their factor set.</w:t>
            </w:r>
          </w:p>
        </w:tc>
      </w:tr>
      <w:tr>
        <w:tc>
          <w:tcPr>
            <w:tcW w:type="dxa" w:w="30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Annual UK Gov / ADEME updates shift results</w:t>
            </w:r>
          </w:p>
        </w:tc>
        <w:tc>
          <w:tcPr>
            <w:tcW w:type="dxa" w:w="1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High</w:t>
            </w:r>
          </w:p>
        </w:tc>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40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Year-pinned country_factor rows; report states factor source and year.</w:t>
            </w:r>
          </w:p>
        </w:tc>
      </w:tr>
      <w:tr>
        <w:tc>
          <w:tcPr>
            <w:tcW w:type="dxa" w:w="30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Cloud providers under-report Scope 3</w:t>
            </w:r>
          </w:p>
        </w:tc>
        <w:tc>
          <w:tcPr>
            <w:tcW w:type="dxa" w:w="1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4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Document the limitation; allow a manual override factor.</w:t>
            </w:r>
          </w:p>
        </w:tc>
      </w:tr>
      <w:tr>
        <w:tc>
          <w:tcPr>
            <w:tcW w:type="dxa" w:w="30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User mis-enters inventory and republishes</w:t>
            </w:r>
          </w:p>
        </w:tc>
        <w:tc>
          <w:tcPr>
            <w:tcW w:type="dxa" w:w="1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1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High</w:t>
            </w:r>
          </w:p>
        </w:tc>
        <w:tc>
          <w:tcPr>
            <w:tcW w:type="dxa" w:w="40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Drafts vs. published; audit_log before/after; reviewer sign-off to publish.</w:t>
            </w:r>
          </w:p>
        </w:tc>
      </w:tr>
      <w:tr>
        <w:tc>
          <w:tcPr>
            <w:tcW w:type="dxa" w:w="30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Methodology debate (cloud Scope 2 vs 3)</w:t>
            </w:r>
          </w:p>
        </w:tc>
        <w:tc>
          <w:tcPr>
            <w:tcW w:type="dxa" w:w="1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1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4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Encode as a versioned assumption; changing it is a governed change with approval.</w:t>
            </w:r>
          </w:p>
        </w:tc>
      </w:tr>
    </w:tbl>
    <w:p>
      <w:pPr>
        <w:pStyle w:val="Heading1"/>
      </w:pPr>
      <w:r>
        <w:rPr>
          <w:rFonts w:ascii="Arial" w:cs="Arial" w:eastAsia="Arial" w:hAnsi="Arial"/>
        </w:rPr>
        <w:t xml:space="preserve">12. Success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Criterion</w:t>
            </w:r>
          </w:p>
        </w:tc>
        <w:tc>
          <w:tcPr>
            <w:tcW w:type="dxa" w:w="49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Target</w:t>
            </w:r>
          </w:p>
        </w:tc>
      </w:tr>
      <w:tr>
        <w:tc>
          <w:tcPr>
            <w:tcW w:type="dxa" w:w="4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Golden test reproducibility</w:t>
            </w:r>
          </w:p>
        </w:tc>
        <w:tc>
          <w:tcPr>
            <w:tcW w:type="dxa" w:w="4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100% match against KPMG Excel reference cases</w:t>
            </w:r>
          </w:p>
        </w:tc>
      </w:tr>
      <w:tr>
        <w:tc>
          <w:tcPr>
            <w:tcW w:type="dxa" w:w="4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Time-to-first-result for a new client</w:t>
            </w:r>
          </w:p>
        </w:tc>
        <w:tc>
          <w:tcPr>
            <w:tcW w:type="dxa" w:w="4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 60 minutes (8-step journey)</w:t>
            </w:r>
          </w:p>
        </w:tc>
      </w:tr>
      <w:tr>
        <w:tc>
          <w:tcPr>
            <w:tcW w:type="dxa" w:w="4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 traceability coverage</w:t>
            </w:r>
          </w:p>
        </w:tc>
        <w:tc>
          <w:tcPr>
            <w:tcW w:type="dxa" w:w="4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100% of result rows link to a source_reference</w:t>
            </w:r>
          </w:p>
        </w:tc>
      </w:tr>
      <w:tr>
        <w:tc>
          <w:tcPr>
            <w:tcW w:type="dxa" w:w="4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Assumption versioning</w:t>
            </w:r>
          </w:p>
        </w:tc>
        <w:tc>
          <w:tcPr>
            <w:tcW w:type="dxa" w:w="4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Every published report references an immutable assumption set</w:t>
            </w:r>
          </w:p>
        </w:tc>
      </w:tr>
      <w:tr>
        <w:tc>
          <w:tcPr>
            <w:tcW w:type="dxa" w:w="4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Re-run determinism</w:t>
            </w:r>
          </w:p>
        </w:tc>
        <w:tc>
          <w:tcPr>
            <w:tcW w:type="dxa" w:w="4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Hash(inputs + factor_version + assumption_version) = stable output</w:t>
            </w:r>
          </w:p>
        </w:tc>
      </w:tr>
    </w:tbl>
    <w:p>
      <w:pPr>
        <w:pStyle w:val="Heading2"/>
      </w:pPr>
      <w:r>
        <w:rPr>
          <w:rFonts w:ascii="Arial" w:cs="Arial" w:eastAsia="Arial" w:hAnsi="Arial"/>
        </w:rPr>
        <w:t xml:space="preserve">12.1 Testing Strategy (summary)</w:t>
      </w:r>
    </w:p>
    <w:p>
      <w:pPr>
        <w:pStyle w:val="ListParagraph"/>
        <w:numPr>
          <w:ilvl w:val="0"/>
          <w:numId w:val="2"/>
        </w:numPr>
        <w:spacing w:after="70"/>
      </w:pPr>
      <w:r>
        <w:rPr>
          <w:rFonts w:ascii="Arial" w:cs="Arial" w:eastAsia="Arial" w:hAnsi="Arial"/>
        </w:rPr>
        <w:t xml:space="preserve">Unit tests (pytest) on the pure engine, e.g. calculate_electricity(1000, 0.209) ≈ 209.0.</w:t>
      </w:r>
    </w:p>
    <w:p>
      <w:pPr>
        <w:pStyle w:val="ListParagraph"/>
        <w:numPr>
          <w:ilvl w:val="0"/>
          <w:numId w:val="2"/>
        </w:numPr>
        <w:spacing w:after="70"/>
      </w:pPr>
      <w:r>
        <w:rPr>
          <w:rFonts w:ascii="Arial" w:cs="Arial" w:eastAsia="Arial" w:hAnsi="Arial"/>
        </w:rPr>
        <w:t xml:space="preserve">Golden test cases derived from the KPMG workbook; engine output must match byte-for-byte (e.g. 361 kWh × 0.055 = 19.855 kgCO₂e/year).</w:t>
      </w:r>
    </w:p>
    <w:p>
      <w:pPr>
        <w:pStyle w:val="ListParagraph"/>
        <w:numPr>
          <w:ilvl w:val="0"/>
          <w:numId w:val="2"/>
        </w:numPr>
        <w:spacing w:after="70"/>
      </w:pPr>
      <w:r>
        <w:rPr>
          <w:rFonts w:ascii="Arial" w:cs="Arial" w:eastAsia="Arial" w:hAnsi="Arial"/>
        </w:rPr>
        <w:t xml:space="preserve">Regression tests re-run the full golden set whenever formulas or factors change; the diff is approved before publishing a new factor set.</w:t>
      </w:r>
    </w:p>
    <w:p>
      <w:pPr>
        <w:pStyle w:val="ListParagraph"/>
        <w:numPr>
          <w:ilvl w:val="0"/>
          <w:numId w:val="2"/>
        </w:numPr>
        <w:spacing w:after="70"/>
      </w:pPr>
      <w:r>
        <w:rPr>
          <w:rFonts w:ascii="Arial" w:cs="Arial" w:eastAsia="Arial" w:hAnsi="Arial"/>
        </w:rPr>
        <w:t xml:space="preserve">Factor-import tests: no missing names, no duplicate IDs, units in allow-list, ratios sum to 1.0 (±0.001), no negatives unless allowlisted.</w:t>
      </w:r>
    </w:p>
    <w:p>
      <w:pPr>
        <w:pStyle w:val="ListParagraph"/>
        <w:numPr>
          <w:ilvl w:val="0"/>
          <w:numId w:val="2"/>
        </w:numPr>
        <w:spacing w:after="70"/>
      </w:pPr>
      <w:r>
        <w:rPr>
          <w:rFonts w:ascii="Arial" w:cs="Arial" w:eastAsia="Arial" w:hAnsi="Arial"/>
        </w:rPr>
        <w:t xml:space="preserve">Contract (OpenAPI) and Playwright end-to-end tests covering the full create → export journey.</w:t>
      </w:r>
    </w:p>
    <w:p>
      <w:pPr>
        <w:pStyle w:val="Heading1"/>
      </w:pPr>
      <w:r>
        <w:rPr>
          <w:rFonts w:ascii="Arial" w:cs="Arial" w:eastAsia="Arial" w:hAnsi="Arial"/>
        </w:rPr>
        <w:t xml:space="preserve">13.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Phase</w:t>
            </w:r>
          </w:p>
        </w:tc>
        <w:tc>
          <w:tcPr>
            <w:tcW w:type="dxa" w:w="2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Theme</w:t>
            </w:r>
          </w:p>
        </w:tc>
        <w:tc>
          <w:tcPr>
            <w:tcW w:type="dxa" w:w="62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Deliverables</w:t>
            </w:r>
          </w:p>
        </w:tc>
      </w:tr>
      <w:tr>
        <w:tc>
          <w:tcPr>
            <w:tcW w:type="dxa" w:w="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Understanding prototype</w:t>
            </w:r>
          </w:p>
        </w:tc>
        <w:tc>
          <w:tcPr>
            <w:tcW w:type="dxa" w:w="6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Basic UI · manual inputs · static factor table · simple results · Excel export</w:t>
            </w:r>
          </w:p>
        </w:tc>
      </w:tr>
      <w:tr>
        <w:tc>
          <w:tcPr>
            <w:tcW w:type="dxa" w:w="7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Governed MVP</w:t>
            </w:r>
          </w:p>
        </w:tc>
        <w:tc>
          <w:tcPr>
            <w:tcW w:type="dxa" w:w="6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PostgreSQL factor tables · source metadata · assessment versioning · PDF/Excel · audit trail · admin import</w:t>
            </w:r>
          </w:p>
        </w:tc>
      </w:tr>
      <w:tr>
        <w:tc>
          <w:tcPr>
            <w:tcW w:type="dxa" w:w="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3</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Product-grade calculator</w:t>
            </w:r>
          </w:p>
        </w:tc>
        <w:tc>
          <w:tcPr>
            <w:tcW w:type="dxa" w:w="6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RBAC · multiple orgs · scenario modelling · approval workflow · factor version management · data-quality scoring</w:t>
            </w:r>
          </w:p>
        </w:tc>
      </w:tr>
      <w:tr>
        <w:tc>
          <w:tcPr>
            <w:tcW w:type="dxa" w:w="7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4</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Advanced capability</w:t>
            </w:r>
          </w:p>
        </w:tc>
        <w:tc>
          <w:tcPr>
            <w:tcW w:type="dxa" w:w="6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Cloud provider API integrations · procurement imports · asset-management integrations · reduction recommendations · benchmarks</w:t>
            </w:r>
          </w:p>
        </w:tc>
      </w:tr>
      <w:tr>
        <w:tc>
          <w:tcPr>
            <w:tcW w:type="dxa" w:w="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5</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Assurance-ready</w:t>
            </w:r>
          </w:p>
        </w:tc>
        <w:tc>
          <w:tcPr>
            <w:tcW w:type="dxa" w:w="6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Methodology locking · evidence attachments · change history · assumption approval · reviewer sign-off · exportable audit pack</w:t>
            </w:r>
          </w:p>
        </w:tc>
      </w:tr>
    </w:tbl>
    <w:p>
      <w:pPr>
        <w:pStyle w:val="Heading2"/>
      </w:pPr>
      <w:r>
        <w:rPr>
          <w:rFonts w:ascii="Arial" w:cs="Arial" w:eastAsia="Arial" w:hAnsi="Arial"/>
        </w:rPr>
        <w:t xml:space="preserve">13.1 Four-Week Cheat Sheet (Phase 1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Week</w:t>
            </w:r>
          </w:p>
        </w:tc>
        <w:tc>
          <w:tcPr>
            <w:tcW w:type="dxa" w:w="2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Focus</w:t>
            </w:r>
          </w:p>
        </w:tc>
        <w:tc>
          <w:tcPr>
            <w:tcW w:type="dxa" w:w="62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Output</w:t>
            </w:r>
          </w:p>
        </w:tc>
      </w:tr>
      <w:tr>
        <w:tc>
          <w:tcPr>
            <w:tcW w:type="dxa" w:w="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Understand and model</w:t>
            </w:r>
          </w:p>
        </w:tc>
        <w:tc>
          <w:tcPr>
            <w:tcW w:type="dxa" w:w="6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Read the Excel · identify source sheets · document formulas · create data model · sample test cases</w:t>
            </w:r>
          </w:p>
        </w:tc>
      </w:tr>
      <w:tr>
        <w:tc>
          <w:tcPr>
            <w:tcW w:type="dxa" w:w="7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Build calculation engine</w:t>
            </w:r>
          </w:p>
        </w:tc>
        <w:tc>
          <w:tcPr>
            <w:tcW w:type="dxa" w:w="6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 tables · calculate* functions · unit tests · validate against Excel golden cases</w:t>
            </w:r>
          </w:p>
        </w:tc>
      </w:tr>
      <w:tr>
        <w:tc>
          <w:tcPr>
            <w:tcW w:type="dxa" w:w="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3</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Build UI</w:t>
            </w:r>
          </w:p>
        </w:tc>
        <w:tc>
          <w:tcPr>
            <w:tcW w:type="dxa" w:w="62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 setup · asset inventory · data-centre input · cloud input · results dashboard</w:t>
            </w:r>
          </w:p>
        </w:tc>
      </w:tr>
      <w:tr>
        <w:tc>
          <w:tcPr>
            <w:tcW w:type="dxa" w:w="7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4</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Reporting &amp; governance</w:t>
            </w:r>
          </w:p>
        </w:tc>
        <w:tc>
          <w:tcPr>
            <w:tcW w:type="dxa" w:w="62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Export report · source references · assumptions screen · audit trail · admin factor upload</w:t>
            </w:r>
          </w:p>
        </w:tc>
      </w:tr>
    </w:tbl>
    <w:p>
      <w:pPr>
        <w:pStyle w:val="Heading1"/>
      </w:pPr>
      <w:r>
        <w:rPr>
          <w:rFonts w:ascii="Arial" w:cs="Arial" w:eastAsia="Arial" w:hAnsi="Arial"/>
        </w:rPr>
        <w:t xml:space="preserve">14. Appendix</w:t>
      </w:r>
    </w:p>
    <w:p>
      <w:pPr>
        <w:pStyle w:val="Heading2"/>
      </w:pPr>
      <w:r>
        <w:rPr>
          <w:rFonts w:ascii="Arial" w:cs="Arial" w:eastAsia="Arial" w:hAnsi="Arial"/>
        </w:rPr>
        <w:t xml:space="preserve">14.1 Five Questions Every Number Must Answer</w:t>
      </w:r>
    </w:p>
    <w:p>
      <w:pPr>
        <w:pStyle w:val="ListParagraph"/>
        <w:numPr>
          <w:ilvl w:val="0"/>
          <w:numId w:val="2"/>
        </w:numPr>
        <w:spacing w:after="70"/>
      </w:pPr>
      <w:r>
        <w:rPr>
          <w:rFonts w:ascii="Arial" w:cs="Arial" w:eastAsia="Arial" w:hAnsi="Arial"/>
        </w:rPr>
        <w:t xml:space="preserve">What activity was measured?</w:t>
      </w:r>
    </w:p>
    <w:p>
      <w:pPr>
        <w:pStyle w:val="ListParagraph"/>
        <w:numPr>
          <w:ilvl w:val="0"/>
          <w:numId w:val="2"/>
        </w:numPr>
        <w:spacing w:after="70"/>
      </w:pPr>
      <w:r>
        <w:rPr>
          <w:rFonts w:ascii="Arial" w:cs="Arial" w:eastAsia="Arial" w:hAnsi="Arial"/>
        </w:rPr>
        <w:t xml:space="preserve">What factor was used?</w:t>
      </w:r>
    </w:p>
    <w:p>
      <w:pPr>
        <w:pStyle w:val="ListParagraph"/>
        <w:numPr>
          <w:ilvl w:val="0"/>
          <w:numId w:val="2"/>
        </w:numPr>
        <w:spacing w:after="70"/>
      </w:pPr>
      <w:r>
        <w:rPr>
          <w:rFonts w:ascii="Arial" w:cs="Arial" w:eastAsia="Arial" w:hAnsi="Arial"/>
        </w:rPr>
        <w:t xml:space="preserve">What formula was used?</w:t>
      </w:r>
    </w:p>
    <w:p>
      <w:pPr>
        <w:pStyle w:val="ListParagraph"/>
        <w:numPr>
          <w:ilvl w:val="0"/>
          <w:numId w:val="2"/>
        </w:numPr>
        <w:spacing w:after="70"/>
      </w:pPr>
      <w:r>
        <w:rPr>
          <w:rFonts w:ascii="Arial" w:cs="Arial" w:eastAsia="Arial" w:hAnsi="Arial"/>
        </w:rPr>
        <w:t xml:space="preserve">What source did the factor come from?</w:t>
      </w:r>
    </w:p>
    <w:p>
      <w:pPr>
        <w:pStyle w:val="ListParagraph"/>
        <w:numPr>
          <w:ilvl w:val="0"/>
          <w:numId w:val="2"/>
        </w:numPr>
        <w:spacing w:after="70"/>
      </w:pPr>
      <w:r>
        <w:rPr>
          <w:rFonts w:ascii="Arial" w:cs="Arial" w:eastAsia="Arial" w:hAnsi="Arial"/>
        </w:rPr>
        <w:t xml:space="preserve">What assumptions were applied?</w:t>
      </w:r>
    </w:p>
    <w:p>
      <w:pPr>
        <w:pStyle w:val="ListParagraph"/>
        <w:numPr>
          <w:ilvl w:val="0"/>
          <w:numId w:val="2"/>
        </w:numPr>
        <w:spacing w:after="70"/>
      </w:pPr>
      <w:r>
        <w:rPr>
          <w:rFonts w:ascii="Arial" w:cs="Arial" w:eastAsia="Arial" w:hAnsi="Arial"/>
        </w:rPr>
        <w:t xml:space="preserve">When was it calculated, and who changed the input?</w:t>
      </w:r>
    </w:p>
    <w:p>
      <w:pPr>
        <w:pStyle w:val="Heading2"/>
      </w:pPr>
      <w:r>
        <w:rPr>
          <w:rFonts w:ascii="Arial" w:cs="Arial" w:eastAsia="Arial" w:hAnsi="Arial"/>
        </w:rPr>
        <w:t xml:space="preserve">14.2 Document Closeout</w:t>
      </w:r>
    </w:p>
    <w:p>
      <w:pPr>
        <w:spacing w:after="140" w:line="276"/>
        <w:jc w:val="both"/>
      </w:pPr>
      <w:r>
        <w:rPr>
          <w:rFonts w:ascii="Arial" w:cs="Arial" w:eastAsia="Arial" w:hAnsi="Arial"/>
        </w:rPr>
        <w:t xml:space="preserve">This System Analysis Document is the baseline for engineering and methodology review. It is paired with the Database Design Document, which details the schema, governance, indexing, and migration strategy that realise the requirements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3E0" w:sz="4" w:space="4"/>
      </w:pBdr>
      <w:tabs>
        <w:tab w:val="right" w:pos="9360"/>
      </w:tabs>
    </w:pPr>
    <w:r>
      <w:rPr>
        <w:rFonts w:ascii="Arial" w:cs="Arial" w:eastAsia="Arial" w:hAnsi="Arial"/>
        <w:color w:val="6B7280"/>
        <w:sz w:val="16"/>
        <w:szCs w:val="16"/>
      </w:rPr>
      <w:t xml:space="preserve">Carbon Footprint Calculator</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3E0" w:sz="4" w:space="4"/>
      </w:pBdr>
      <w:tabs>
        <w:tab w:val="right" w:pos="9360"/>
      </w:tabs>
    </w:pPr>
    <w:r>
      <w:rPr>
        <w:rFonts w:ascii="Arial" w:cs="Arial" w:eastAsia="Arial" w:hAnsi="Arial"/>
        <w:color w:val="6B7280"/>
        <w:sz w:val="16"/>
        <w:szCs w:val="16"/>
      </w:rPr>
      <w:t xml:space="preserve">System Analysis Document</w:t>
    </w:r>
    <w:r>
      <w:rPr>
        <w:rFonts w:ascii="Arial" w:cs="Arial" w:eastAsia="Arial" w:hAnsi="Arial"/>
        <w:color w:val="6B7280"/>
        <w:sz w:val="16"/>
        <w:szCs w:val="16"/>
      </w:rPr>
      <w:t xml:space="preserve">	KPMG GreenPath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6CA8" w:sz="8" w:space="6"/>
      </w:pBdr>
      <w:spacing w:after="160" w:before="320"/>
      <w:outlineLvl w:val="0"/>
    </w:pPr>
    <w:rPr>
      <w:rFonts w:ascii="Arial" w:cs="Arial" w:eastAsia="Arial" w:hAnsi="Arial"/>
      <w:b/>
      <w:bCs/>
      <w:color w:val="0F2A4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B6CA8"/>
      <w:sz w:val="25"/>
      <w:szCs w:val="25"/>
    </w:rPr>
  </w:style>
  <w:style w:type="paragraph" w:styleId="Heading3">
    <w:name w:val="Heading 3"/>
    <w:basedOn w:val="Normal"/>
    <w:next w:val="Normal"/>
    <w:qFormat/>
    <w:pPr>
      <w:spacing w:after="90" w:before="180"/>
      <w:outlineLvl w:val="2"/>
    </w:pPr>
    <w:rPr>
      <w:rFonts w:ascii="Arial" w:cs="Arial" w:eastAsia="Arial" w:hAnsi="Arial"/>
      <w:b/>
      <w:bCs/>
      <w:color w:val="1E8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f7b951e3a33e3dbcbd7f21a5a6fd1364a67863.png"/><Relationship Id="rId10" Type="http://schemas.openxmlformats.org/officeDocument/2006/relationships/image" Target="media/d9d506e03658a6277af23ea45dba83ae8f0e2398.png"/><Relationship Id="rId11" Type="http://schemas.openxmlformats.org/officeDocument/2006/relationships/image" Target="media/0994387101bc62cae6c3b9c74f05cb933527c973.png"/><Relationship Id="rId12" Type="http://schemas.openxmlformats.org/officeDocument/2006/relationships/image" Target="media/48d0990a87d4353ce6bd279a238c2471349aa4d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2026-05-29T12:05:18.419Z</dcterms:created>
  <dcterms:modified xsi:type="dcterms:W3CDTF">2026-05-29T12:05:18.420Z</dcterms:modified>
</cp:coreProperties>
</file>

<file path=docProps/custom.xml><?xml version="1.0" encoding="utf-8"?>
<Properties xmlns="http://schemas.openxmlformats.org/officeDocument/2006/custom-properties" xmlns:vt="http://schemas.openxmlformats.org/officeDocument/2006/docPropsVTypes"/>
</file>