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76578" w14:textId="77777777" w:rsidR="00A50448" w:rsidRDefault="00000000">
      <w:pPr>
        <w:spacing w:before="480" w:after="0"/>
      </w:pPr>
      <w:r>
        <w:rPr>
          <w:rFonts w:ascii="Calibri" w:hAnsi="Calibri"/>
          <w:b/>
          <w:color w:val="0A2540"/>
          <w:sz w:val="64"/>
        </w:rPr>
        <w:t>Carbon Footprint Calculator</w:t>
      </w:r>
    </w:p>
    <w:p w14:paraId="314C902D" w14:textId="77777777" w:rsidR="00A50448" w:rsidRDefault="00000000">
      <w:pPr>
        <w:spacing w:after="80"/>
      </w:pPr>
      <w:r>
        <w:rPr>
          <w:rFonts w:ascii="Calibri" w:hAnsi="Calibri"/>
          <w:color w:val="0A2540"/>
          <w:sz w:val="36"/>
        </w:rPr>
        <w:t>Software Design Document</w:t>
      </w:r>
    </w:p>
    <w:p w14:paraId="6143D12F" w14:textId="77777777" w:rsidR="00A50448" w:rsidRDefault="00000000">
      <w:pPr>
        <w:spacing w:after="480"/>
      </w:pPr>
      <w:r>
        <w:rPr>
          <w:rFonts w:ascii="Calibri" w:hAnsi="Calibri"/>
          <w:i/>
          <w:color w:val="3C4A5A"/>
          <w:sz w:val="24"/>
        </w:rPr>
        <w:t>A governed calculation engine for IT carbon assessment</w:t>
      </w:r>
    </w:p>
    <w:p w14:paraId="01BCD2D1" w14:textId="77777777" w:rsidR="00A50448" w:rsidRDefault="00A50448">
      <w:pPr>
        <w:pBdr>
          <w:bottom w:val="single" w:sz="18" w:space="1" w:color="16A085"/>
        </w:pBdr>
      </w:pPr>
    </w:p>
    <w:p w14:paraId="43F04E21" w14:textId="77777777" w:rsidR="00A50448" w:rsidRDefault="00A50448"/>
    <w:p w14:paraId="74F2164A" w14:textId="77777777" w:rsidR="00A50448" w:rsidRDefault="00A50448"/>
    <w:tbl>
      <w:tblPr>
        <w:tblW w:w="0" w:type="auto"/>
        <w:tblBorders>
          <w:bottom w:val="single" w:sz="4" w:space="0" w:color="D7DEE5"/>
          <w:insideH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A50448" w14:paraId="5D9D21D1" w14:textId="77777777">
        <w:tc>
          <w:tcPr>
            <w:tcW w:w="2551" w:type="dxa"/>
          </w:tcPr>
          <w:p w14:paraId="064DFE9C" w14:textId="77777777" w:rsidR="00A50448" w:rsidRDefault="00000000">
            <w:r>
              <w:rPr>
                <w:rFonts w:ascii="Calibri" w:hAnsi="Calibri"/>
                <w:b/>
                <w:color w:val="0A2540"/>
                <w:sz w:val="20"/>
              </w:rPr>
              <w:t>Prepared for</w:t>
            </w:r>
          </w:p>
        </w:tc>
        <w:tc>
          <w:tcPr>
            <w:tcW w:w="7087" w:type="dxa"/>
          </w:tcPr>
          <w:p w14:paraId="792D6589" w14:textId="77777777" w:rsidR="00A50448" w:rsidRDefault="00000000">
            <w:r>
              <w:rPr>
                <w:rFonts w:ascii="Calibri" w:hAnsi="Calibri"/>
                <w:color w:val="3C4A5A"/>
                <w:sz w:val="20"/>
              </w:rPr>
              <w:t>KPMG GreenPath</w:t>
            </w:r>
          </w:p>
        </w:tc>
      </w:tr>
      <w:tr w:rsidR="00A50448" w14:paraId="016CE5BE" w14:textId="77777777">
        <w:tc>
          <w:tcPr>
            <w:tcW w:w="2551" w:type="dxa"/>
          </w:tcPr>
          <w:p w14:paraId="7027423D" w14:textId="77777777" w:rsidR="00A50448" w:rsidRDefault="00000000">
            <w:r>
              <w:rPr>
                <w:rFonts w:ascii="Calibri" w:hAnsi="Calibri"/>
                <w:b/>
                <w:color w:val="0A2540"/>
                <w:sz w:val="20"/>
              </w:rPr>
              <w:t>Source</w:t>
            </w:r>
          </w:p>
        </w:tc>
        <w:tc>
          <w:tcPr>
            <w:tcW w:w="7087" w:type="dxa"/>
          </w:tcPr>
          <w:p w14:paraId="2D250CE8" w14:textId="77777777" w:rsidR="00A50448" w:rsidRDefault="00000000">
            <w:r>
              <w:rPr>
                <w:rFonts w:ascii="Calibri" w:hAnsi="Calibri"/>
                <w:color w:val="3C4A5A"/>
                <w:sz w:val="20"/>
              </w:rPr>
              <w:t>23-page beginner-friendly build guide (uploaded)</w:t>
            </w:r>
          </w:p>
        </w:tc>
      </w:tr>
      <w:tr w:rsidR="00A50448" w14:paraId="1B2E2A85" w14:textId="77777777">
        <w:tc>
          <w:tcPr>
            <w:tcW w:w="2551" w:type="dxa"/>
          </w:tcPr>
          <w:p w14:paraId="49B66C1C" w14:textId="77777777" w:rsidR="00A50448" w:rsidRDefault="00000000">
            <w:r>
              <w:rPr>
                <w:rFonts w:ascii="Calibri" w:hAnsi="Calibri"/>
                <w:b/>
                <w:color w:val="0A2540"/>
                <w:sz w:val="20"/>
              </w:rPr>
              <w:t>Document type</w:t>
            </w:r>
          </w:p>
        </w:tc>
        <w:tc>
          <w:tcPr>
            <w:tcW w:w="7087" w:type="dxa"/>
          </w:tcPr>
          <w:p w14:paraId="765E4FF4" w14:textId="77777777" w:rsidR="00A50448" w:rsidRDefault="00000000">
            <w:r>
              <w:rPr>
                <w:rFonts w:ascii="Calibri" w:hAnsi="Calibri"/>
                <w:color w:val="3C4A5A"/>
                <w:sz w:val="20"/>
              </w:rPr>
              <w:t>Opinionated Software Design Document (SDD)</w:t>
            </w:r>
          </w:p>
        </w:tc>
      </w:tr>
      <w:tr w:rsidR="00A50448" w14:paraId="21A1D42D" w14:textId="77777777">
        <w:tc>
          <w:tcPr>
            <w:tcW w:w="2551" w:type="dxa"/>
          </w:tcPr>
          <w:p w14:paraId="5521F2ED" w14:textId="77777777" w:rsidR="00A50448" w:rsidRDefault="00000000">
            <w:r>
              <w:rPr>
                <w:rFonts w:ascii="Calibri" w:hAnsi="Calibri"/>
                <w:b/>
                <w:color w:val="0A2540"/>
                <w:sz w:val="20"/>
              </w:rPr>
              <w:t>Status</w:t>
            </w:r>
          </w:p>
        </w:tc>
        <w:tc>
          <w:tcPr>
            <w:tcW w:w="7087" w:type="dxa"/>
          </w:tcPr>
          <w:p w14:paraId="12715A4C" w14:textId="77777777" w:rsidR="00A50448" w:rsidRDefault="00000000">
            <w:r>
              <w:rPr>
                <w:rFonts w:ascii="Calibri" w:hAnsi="Calibri"/>
                <w:color w:val="3C4A5A"/>
                <w:sz w:val="20"/>
              </w:rPr>
              <w:t>Draft v1.0 — for engineering and methodology review</w:t>
            </w:r>
          </w:p>
        </w:tc>
      </w:tr>
      <w:tr w:rsidR="00A50448" w14:paraId="10AFB70B" w14:textId="77777777">
        <w:tc>
          <w:tcPr>
            <w:tcW w:w="2551" w:type="dxa"/>
          </w:tcPr>
          <w:p w14:paraId="58558F86" w14:textId="77777777" w:rsidR="00A50448" w:rsidRDefault="00000000">
            <w:r>
              <w:rPr>
                <w:rFonts w:ascii="Calibri" w:hAnsi="Calibri"/>
                <w:b/>
                <w:color w:val="0A2540"/>
                <w:sz w:val="20"/>
              </w:rPr>
              <w:t>Date</w:t>
            </w:r>
          </w:p>
        </w:tc>
        <w:tc>
          <w:tcPr>
            <w:tcW w:w="7087" w:type="dxa"/>
          </w:tcPr>
          <w:p w14:paraId="656FE4F7" w14:textId="77777777" w:rsidR="00A50448" w:rsidRDefault="00000000">
            <w:r>
              <w:rPr>
                <w:rFonts w:ascii="Calibri" w:hAnsi="Calibri"/>
                <w:color w:val="3C4A5A"/>
                <w:sz w:val="20"/>
              </w:rPr>
              <w:t>2026-05-20</w:t>
            </w:r>
          </w:p>
        </w:tc>
      </w:tr>
    </w:tbl>
    <w:p w14:paraId="400DD645" w14:textId="77777777" w:rsidR="00A50448" w:rsidRDefault="00000000">
      <w:r>
        <w:br/>
      </w:r>
      <w:r>
        <w:br w:type="page"/>
      </w:r>
    </w:p>
    <w:p w14:paraId="6DE1F486" w14:textId="77777777" w:rsidR="00A50448" w:rsidRDefault="00000000">
      <w:pPr>
        <w:spacing w:before="240" w:after="160"/>
      </w:pPr>
      <w:r>
        <w:rPr>
          <w:rFonts w:ascii="Calibri" w:hAnsi="Calibri"/>
          <w:b/>
          <w:color w:val="0A2540"/>
          <w:sz w:val="36"/>
        </w:rPr>
        <w:lastRenderedPageBreak/>
        <w:t>Contents</w:t>
      </w:r>
    </w:p>
    <w:p w14:paraId="106EA242" w14:textId="77777777" w:rsidR="00A50448" w:rsidRDefault="00A50448">
      <w:pPr>
        <w:pBdr>
          <w:bottom w:val="single" w:sz="6" w:space="1" w:color="D7DEE5"/>
        </w:pBdr>
        <w:spacing w:after="120"/>
      </w:pPr>
    </w:p>
    <w:tbl>
      <w:tblPr>
        <w:tblW w:w="0" w:type="auto"/>
        <w:tblBorders>
          <w:bottom w:val="single" w:sz="4" w:space="0" w:color="D7DEE5"/>
          <w:insideH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8958"/>
      </w:tblGrid>
      <w:tr w:rsidR="00A50448" w14:paraId="2D4D34AC" w14:textId="77777777">
        <w:tc>
          <w:tcPr>
            <w:tcW w:w="680" w:type="dxa"/>
          </w:tcPr>
          <w:p w14:paraId="7F536EE7" w14:textId="77777777" w:rsidR="00A50448" w:rsidRDefault="00000000">
            <w:r>
              <w:rPr>
                <w:rFonts w:ascii="Calibri" w:hAnsi="Calibri"/>
                <w:b/>
                <w:color w:val="117A65"/>
              </w:rPr>
              <w:t>1.</w:t>
            </w:r>
          </w:p>
        </w:tc>
        <w:tc>
          <w:tcPr>
            <w:tcW w:w="8958" w:type="dxa"/>
          </w:tcPr>
          <w:p w14:paraId="3ED28536" w14:textId="77777777" w:rsidR="00A50448" w:rsidRDefault="00000000">
            <w:r>
              <w:rPr>
                <w:rFonts w:ascii="Calibri" w:hAnsi="Calibri"/>
                <w:color w:val="0A2540"/>
              </w:rPr>
              <w:t>Executive Summary</w:t>
            </w:r>
          </w:p>
        </w:tc>
      </w:tr>
      <w:tr w:rsidR="00A50448" w14:paraId="78304A93" w14:textId="77777777">
        <w:tc>
          <w:tcPr>
            <w:tcW w:w="680" w:type="dxa"/>
          </w:tcPr>
          <w:p w14:paraId="05EA6BFA" w14:textId="77777777" w:rsidR="00A50448" w:rsidRDefault="00000000">
            <w:r>
              <w:rPr>
                <w:rFonts w:ascii="Calibri" w:hAnsi="Calibri"/>
                <w:b/>
                <w:color w:val="117A65"/>
              </w:rPr>
              <w:t>2.</w:t>
            </w:r>
          </w:p>
        </w:tc>
        <w:tc>
          <w:tcPr>
            <w:tcW w:w="8958" w:type="dxa"/>
          </w:tcPr>
          <w:p w14:paraId="0D3CFFDC" w14:textId="77777777" w:rsidR="00A50448" w:rsidRDefault="00000000">
            <w:r>
              <w:rPr>
                <w:rFonts w:ascii="Calibri" w:hAnsi="Calibri"/>
                <w:color w:val="0A2540"/>
              </w:rPr>
              <w:t>Goals, Scope and Non-Goals</w:t>
            </w:r>
          </w:p>
        </w:tc>
      </w:tr>
      <w:tr w:rsidR="00A50448" w14:paraId="2A3F5933" w14:textId="77777777">
        <w:tc>
          <w:tcPr>
            <w:tcW w:w="680" w:type="dxa"/>
          </w:tcPr>
          <w:p w14:paraId="6FA9D752" w14:textId="77777777" w:rsidR="00A50448" w:rsidRDefault="00000000">
            <w:r>
              <w:rPr>
                <w:rFonts w:ascii="Calibri" w:hAnsi="Calibri"/>
                <w:b/>
                <w:color w:val="117A65"/>
              </w:rPr>
              <w:t>3.</w:t>
            </w:r>
          </w:p>
        </w:tc>
        <w:tc>
          <w:tcPr>
            <w:tcW w:w="8958" w:type="dxa"/>
          </w:tcPr>
          <w:p w14:paraId="61B6509C" w14:textId="77777777" w:rsidR="00A50448" w:rsidRDefault="00000000">
            <w:r>
              <w:rPr>
                <w:rFonts w:ascii="Calibri" w:hAnsi="Calibri"/>
                <w:color w:val="0A2540"/>
              </w:rPr>
              <w:t>Domain Model &amp; Glossary</w:t>
            </w:r>
          </w:p>
        </w:tc>
      </w:tr>
      <w:tr w:rsidR="00A50448" w14:paraId="30066FE7" w14:textId="77777777">
        <w:tc>
          <w:tcPr>
            <w:tcW w:w="680" w:type="dxa"/>
          </w:tcPr>
          <w:p w14:paraId="5B4DBBEA" w14:textId="77777777" w:rsidR="00A50448" w:rsidRDefault="00000000">
            <w:r>
              <w:rPr>
                <w:rFonts w:ascii="Calibri" w:hAnsi="Calibri"/>
                <w:b/>
                <w:color w:val="117A65"/>
              </w:rPr>
              <w:t>4.</w:t>
            </w:r>
          </w:p>
        </w:tc>
        <w:tc>
          <w:tcPr>
            <w:tcW w:w="8958" w:type="dxa"/>
          </w:tcPr>
          <w:p w14:paraId="502ED74C" w14:textId="77777777" w:rsidR="00A50448" w:rsidRDefault="00000000">
            <w:r>
              <w:rPr>
                <w:rFonts w:ascii="Calibri" w:hAnsi="Calibri"/>
                <w:color w:val="0A2540"/>
              </w:rPr>
              <w:t>Calculation Engine Specification</w:t>
            </w:r>
          </w:p>
        </w:tc>
      </w:tr>
      <w:tr w:rsidR="00A50448" w14:paraId="0E7DDD51" w14:textId="77777777">
        <w:tc>
          <w:tcPr>
            <w:tcW w:w="680" w:type="dxa"/>
          </w:tcPr>
          <w:p w14:paraId="01FFBCF9" w14:textId="77777777" w:rsidR="00A50448" w:rsidRDefault="00000000">
            <w:r>
              <w:rPr>
                <w:rFonts w:ascii="Calibri" w:hAnsi="Calibri"/>
                <w:b/>
                <w:color w:val="117A65"/>
              </w:rPr>
              <w:t>5.</w:t>
            </w:r>
          </w:p>
        </w:tc>
        <w:tc>
          <w:tcPr>
            <w:tcW w:w="8958" w:type="dxa"/>
          </w:tcPr>
          <w:p w14:paraId="4B015DF2" w14:textId="77777777" w:rsidR="00A50448" w:rsidRDefault="00000000">
            <w:r>
              <w:rPr>
                <w:rFonts w:ascii="Calibri" w:hAnsi="Calibri"/>
                <w:color w:val="0A2540"/>
              </w:rPr>
              <w:t>Data Model</w:t>
            </w:r>
          </w:p>
        </w:tc>
      </w:tr>
      <w:tr w:rsidR="00A50448" w14:paraId="56DE0841" w14:textId="77777777">
        <w:tc>
          <w:tcPr>
            <w:tcW w:w="680" w:type="dxa"/>
          </w:tcPr>
          <w:p w14:paraId="0DA03316" w14:textId="77777777" w:rsidR="00A50448" w:rsidRDefault="00000000">
            <w:r>
              <w:rPr>
                <w:rFonts w:ascii="Calibri" w:hAnsi="Calibri"/>
                <w:b/>
                <w:color w:val="117A65"/>
              </w:rPr>
              <w:t>6.</w:t>
            </w:r>
          </w:p>
        </w:tc>
        <w:tc>
          <w:tcPr>
            <w:tcW w:w="8958" w:type="dxa"/>
          </w:tcPr>
          <w:p w14:paraId="55D4917B" w14:textId="77777777" w:rsidR="00A50448" w:rsidRDefault="00000000">
            <w:r>
              <w:rPr>
                <w:rFonts w:ascii="Calibri" w:hAnsi="Calibri"/>
                <w:color w:val="0A2540"/>
              </w:rPr>
              <w:t>Source Data Strategy &amp; Factor Governance</w:t>
            </w:r>
          </w:p>
        </w:tc>
      </w:tr>
      <w:tr w:rsidR="00A50448" w14:paraId="4E4C09E9" w14:textId="77777777">
        <w:tc>
          <w:tcPr>
            <w:tcW w:w="680" w:type="dxa"/>
          </w:tcPr>
          <w:p w14:paraId="1EEF8706" w14:textId="77777777" w:rsidR="00A50448" w:rsidRDefault="00000000">
            <w:r>
              <w:rPr>
                <w:rFonts w:ascii="Calibri" w:hAnsi="Calibri"/>
                <w:b/>
                <w:color w:val="117A65"/>
              </w:rPr>
              <w:t>7.</w:t>
            </w:r>
          </w:p>
        </w:tc>
        <w:tc>
          <w:tcPr>
            <w:tcW w:w="8958" w:type="dxa"/>
          </w:tcPr>
          <w:p w14:paraId="661BA9C0" w14:textId="77777777" w:rsidR="00A50448" w:rsidRDefault="00000000">
            <w:r>
              <w:rPr>
                <w:rFonts w:ascii="Calibri" w:hAnsi="Calibri"/>
                <w:color w:val="0A2540"/>
              </w:rPr>
              <w:t>System Architecture</w:t>
            </w:r>
          </w:p>
        </w:tc>
      </w:tr>
      <w:tr w:rsidR="00A50448" w14:paraId="07DE88F3" w14:textId="77777777">
        <w:tc>
          <w:tcPr>
            <w:tcW w:w="680" w:type="dxa"/>
          </w:tcPr>
          <w:p w14:paraId="5624FD58" w14:textId="77777777" w:rsidR="00A50448" w:rsidRDefault="00000000">
            <w:r>
              <w:rPr>
                <w:rFonts w:ascii="Calibri" w:hAnsi="Calibri"/>
                <w:b/>
                <w:color w:val="117A65"/>
              </w:rPr>
              <w:t>8.</w:t>
            </w:r>
          </w:p>
        </w:tc>
        <w:tc>
          <w:tcPr>
            <w:tcW w:w="8958" w:type="dxa"/>
          </w:tcPr>
          <w:p w14:paraId="641800AB" w14:textId="77777777" w:rsidR="00A50448" w:rsidRDefault="00000000">
            <w:r>
              <w:rPr>
                <w:rFonts w:ascii="Calibri" w:hAnsi="Calibri"/>
                <w:color w:val="0A2540"/>
              </w:rPr>
              <w:t>User Journey &amp; Frontend</w:t>
            </w:r>
          </w:p>
        </w:tc>
      </w:tr>
      <w:tr w:rsidR="00A50448" w14:paraId="6E2E7608" w14:textId="77777777">
        <w:tc>
          <w:tcPr>
            <w:tcW w:w="680" w:type="dxa"/>
          </w:tcPr>
          <w:p w14:paraId="7F388A2C" w14:textId="77777777" w:rsidR="00A50448" w:rsidRDefault="00000000">
            <w:r>
              <w:rPr>
                <w:rFonts w:ascii="Calibri" w:hAnsi="Calibri"/>
                <w:b/>
                <w:color w:val="117A65"/>
              </w:rPr>
              <w:t>9.</w:t>
            </w:r>
          </w:p>
        </w:tc>
        <w:tc>
          <w:tcPr>
            <w:tcW w:w="8958" w:type="dxa"/>
          </w:tcPr>
          <w:p w14:paraId="3719A728" w14:textId="77777777" w:rsidR="00A50448" w:rsidRDefault="00000000">
            <w:r>
              <w:rPr>
                <w:rFonts w:ascii="Calibri" w:hAnsi="Calibri"/>
                <w:color w:val="0A2540"/>
              </w:rPr>
              <w:t>Reporting, Audit Trail &amp; Traceability</w:t>
            </w:r>
          </w:p>
        </w:tc>
      </w:tr>
      <w:tr w:rsidR="00A50448" w14:paraId="43F5405D" w14:textId="77777777">
        <w:tc>
          <w:tcPr>
            <w:tcW w:w="680" w:type="dxa"/>
          </w:tcPr>
          <w:p w14:paraId="0772FC35" w14:textId="77777777" w:rsidR="00A50448" w:rsidRDefault="00000000">
            <w:r>
              <w:rPr>
                <w:rFonts w:ascii="Calibri" w:hAnsi="Calibri"/>
                <w:b/>
                <w:color w:val="117A65"/>
              </w:rPr>
              <w:t>10.</w:t>
            </w:r>
          </w:p>
        </w:tc>
        <w:tc>
          <w:tcPr>
            <w:tcW w:w="8958" w:type="dxa"/>
          </w:tcPr>
          <w:p w14:paraId="614234ED" w14:textId="77777777" w:rsidR="00A50448" w:rsidRDefault="00000000">
            <w:r>
              <w:rPr>
                <w:rFonts w:ascii="Calibri" w:hAnsi="Calibri"/>
                <w:color w:val="0A2540"/>
              </w:rPr>
              <w:t>Testing Strategy</w:t>
            </w:r>
          </w:p>
        </w:tc>
      </w:tr>
      <w:tr w:rsidR="00A50448" w14:paraId="19087108" w14:textId="77777777">
        <w:tc>
          <w:tcPr>
            <w:tcW w:w="680" w:type="dxa"/>
          </w:tcPr>
          <w:p w14:paraId="32B30894" w14:textId="77777777" w:rsidR="00A50448" w:rsidRDefault="00000000">
            <w:r>
              <w:rPr>
                <w:rFonts w:ascii="Calibri" w:hAnsi="Calibri"/>
                <w:b/>
                <w:color w:val="117A65"/>
              </w:rPr>
              <w:t>11.</w:t>
            </w:r>
          </w:p>
        </w:tc>
        <w:tc>
          <w:tcPr>
            <w:tcW w:w="8958" w:type="dxa"/>
          </w:tcPr>
          <w:p w14:paraId="195CD29C" w14:textId="77777777" w:rsidR="00A50448" w:rsidRDefault="00000000">
            <w:r>
              <w:rPr>
                <w:rFonts w:ascii="Calibri" w:hAnsi="Calibri"/>
                <w:color w:val="0A2540"/>
              </w:rPr>
              <w:t>Phased Roadmap</w:t>
            </w:r>
          </w:p>
        </w:tc>
      </w:tr>
      <w:tr w:rsidR="00A50448" w14:paraId="7D55B583" w14:textId="77777777">
        <w:tc>
          <w:tcPr>
            <w:tcW w:w="680" w:type="dxa"/>
          </w:tcPr>
          <w:p w14:paraId="73E508E2" w14:textId="77777777" w:rsidR="00A50448" w:rsidRDefault="00000000">
            <w:r>
              <w:rPr>
                <w:rFonts w:ascii="Calibri" w:hAnsi="Calibri"/>
                <w:b/>
                <w:color w:val="117A65"/>
              </w:rPr>
              <w:t>12.</w:t>
            </w:r>
          </w:p>
        </w:tc>
        <w:tc>
          <w:tcPr>
            <w:tcW w:w="8958" w:type="dxa"/>
          </w:tcPr>
          <w:p w14:paraId="3492C328" w14:textId="77777777" w:rsidR="00A50448" w:rsidRDefault="00000000">
            <w:r>
              <w:rPr>
                <w:rFonts w:ascii="Calibri" w:hAnsi="Calibri"/>
                <w:color w:val="0A2540"/>
              </w:rPr>
              <w:t>Risks &amp; Anti-patterns</w:t>
            </w:r>
          </w:p>
        </w:tc>
      </w:tr>
      <w:tr w:rsidR="00A50448" w14:paraId="479A9115" w14:textId="77777777">
        <w:tc>
          <w:tcPr>
            <w:tcW w:w="680" w:type="dxa"/>
          </w:tcPr>
          <w:p w14:paraId="5C215694" w14:textId="77777777" w:rsidR="00A50448" w:rsidRDefault="00000000">
            <w:r>
              <w:rPr>
                <w:rFonts w:ascii="Calibri" w:hAnsi="Calibri"/>
                <w:b/>
                <w:color w:val="117A65"/>
              </w:rPr>
              <w:t>13.</w:t>
            </w:r>
          </w:p>
        </w:tc>
        <w:tc>
          <w:tcPr>
            <w:tcW w:w="8958" w:type="dxa"/>
          </w:tcPr>
          <w:p w14:paraId="06034C80" w14:textId="77777777" w:rsidR="00A50448" w:rsidRDefault="00000000">
            <w:r>
              <w:rPr>
                <w:rFonts w:ascii="Calibri" w:hAnsi="Calibri"/>
                <w:color w:val="0A2540"/>
              </w:rPr>
              <w:t>Appendix — References</w:t>
            </w:r>
          </w:p>
        </w:tc>
      </w:tr>
    </w:tbl>
    <w:p w14:paraId="0FBCB084" w14:textId="77777777" w:rsidR="00A50448" w:rsidRDefault="00000000">
      <w:r>
        <w:br/>
      </w:r>
      <w:r>
        <w:br w:type="page"/>
      </w:r>
    </w:p>
    <w:p w14:paraId="54CC8248" w14:textId="77777777" w:rsidR="00A50448" w:rsidRDefault="00000000">
      <w:pPr>
        <w:spacing w:before="240" w:after="160"/>
      </w:pPr>
      <w:r>
        <w:rPr>
          <w:rFonts w:ascii="Calibri" w:hAnsi="Calibri"/>
          <w:b/>
          <w:color w:val="0A2540"/>
          <w:sz w:val="36"/>
        </w:rPr>
        <w:lastRenderedPageBreak/>
        <w:t>1. Executive Summary</w:t>
      </w:r>
    </w:p>
    <w:p w14:paraId="44AEE530" w14:textId="77777777" w:rsidR="00A50448" w:rsidRDefault="00A50448">
      <w:pPr>
        <w:pBdr>
          <w:bottom w:val="single" w:sz="6" w:space="1" w:color="D7DEE5"/>
        </w:pBdr>
        <w:spacing w:after="120"/>
      </w:pPr>
    </w:p>
    <w:p w14:paraId="049B44E6" w14:textId="77777777" w:rsidR="00A50448" w:rsidRDefault="00000000">
      <w:pPr>
        <w:spacing w:after="80" w:line="240" w:lineRule="auto"/>
        <w:jc w:val="both"/>
      </w:pPr>
      <w:r>
        <w:rPr>
          <w:rFonts w:ascii="Calibri" w:hAnsi="Calibri"/>
          <w:color w:val="3C4A5A"/>
          <w:sz w:val="20"/>
        </w:rPr>
        <w:t xml:space="preserve">This document specifies a web application that replaces the existing KPMG GreenPath IT carbon footprint Excel workbook with a </w:t>
      </w:r>
      <w:r>
        <w:rPr>
          <w:rFonts w:ascii="Calibri" w:hAnsi="Calibri"/>
          <w:b/>
          <w:color w:val="3C4A5A"/>
          <w:sz w:val="20"/>
        </w:rPr>
        <w:t>governed, auditable calculation product</w:t>
      </w:r>
      <w:r>
        <w:rPr>
          <w:rFonts w:ascii="Calibri" w:hAnsi="Calibri"/>
          <w:color w:val="3C4A5A"/>
          <w:sz w:val="20"/>
        </w:rPr>
        <w:t>. The product is not a spreadsheet wrapper. It is a calculation engine with first-class source data, versioned assumptions, row-level audit trail, and an explainable report.</w:t>
      </w:r>
    </w:p>
    <w:p w14:paraId="53AED297" w14:textId="77777777" w:rsidR="00A50448" w:rsidRDefault="00000000">
      <w:pPr>
        <w:spacing w:after="80" w:line="240" w:lineRule="auto"/>
        <w:jc w:val="both"/>
      </w:pPr>
      <w:r>
        <w:rPr>
          <w:rFonts w:ascii="Calibri" w:hAnsi="Calibri"/>
          <w:color w:val="3C4A5A"/>
          <w:sz w:val="20"/>
        </w:rPr>
        <w:t xml:space="preserve">The core insight from the source guide is that a credible carbon calculator is fundamentally a </w:t>
      </w:r>
      <w:r>
        <w:rPr>
          <w:rFonts w:ascii="Calibri" w:hAnsi="Calibri"/>
          <w:b/>
          <w:color w:val="3C4A5A"/>
          <w:sz w:val="20"/>
        </w:rPr>
        <w:t>math engine + governed source data + traceable results</w:t>
      </w:r>
      <w:r>
        <w:rPr>
          <w:rFonts w:ascii="Calibri" w:hAnsi="Calibri"/>
          <w:color w:val="3C4A5A"/>
          <w:sz w:val="20"/>
        </w:rPr>
        <w:t xml:space="preserve">. The UI is the least interesting component. Every number produced must answer five questions: </w:t>
      </w:r>
      <w:r>
        <w:rPr>
          <w:rFonts w:ascii="Calibri" w:hAnsi="Calibri"/>
          <w:i/>
          <w:color w:val="3C4A5A"/>
          <w:sz w:val="20"/>
        </w:rPr>
        <w:t>what input created me, what factor did I use, what formula did I use, what source did I come from, what assumption changed me?</w:t>
      </w:r>
    </w:p>
    <w:p w14:paraId="74D1DD0B" w14:textId="77777777" w:rsidR="00A50448" w:rsidRDefault="00000000">
      <w:pPr>
        <w:pBdr>
          <w:top w:val="single" w:sz="4" w:space="4" w:color="16A085"/>
          <w:left w:val="single" w:sz="4" w:space="4" w:color="16A085"/>
          <w:bottom w:val="single" w:sz="4" w:space="4" w:color="16A085"/>
          <w:right w:val="single" w:sz="4" w:space="4" w:color="16A085"/>
        </w:pBdr>
        <w:shd w:val="clear" w:color="auto" w:fill="E8F8F5"/>
        <w:spacing w:before="80" w:after="120"/>
      </w:pPr>
      <w:r>
        <w:rPr>
          <w:rFonts w:ascii="Calibri" w:hAnsi="Calibri"/>
          <w:b/>
          <w:color w:val="0A2540"/>
          <w:sz w:val="20"/>
        </w:rPr>
        <w:t xml:space="preserve">North Star. </w:t>
      </w:r>
      <w:r>
        <w:rPr>
          <w:rFonts w:ascii="Calibri" w:hAnsi="Calibri"/>
          <w:color w:val="0A2540"/>
          <w:sz w:val="20"/>
        </w:rPr>
        <w:t>A user of the report must be able to point at any kilogram of CO₂e on the page and trace it, in one click, back to the user input, the emission factor, the factor source/version, the formula version, and the assumption set that produced it.</w:t>
      </w:r>
    </w:p>
    <w:p w14:paraId="3219E84E" w14:textId="77777777" w:rsidR="00A50448" w:rsidRDefault="00000000">
      <w:pPr>
        <w:spacing w:before="120" w:after="40"/>
      </w:pPr>
      <w:r>
        <w:rPr>
          <w:rFonts w:ascii="Calibri" w:hAnsi="Calibri"/>
          <w:b/>
          <w:color w:val="117A65"/>
        </w:rPr>
        <w:t>Scope at a glance</w:t>
      </w:r>
    </w:p>
    <w:p w14:paraId="26F1D52D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 xml:space="preserve">In scope (MVP): </w:t>
      </w:r>
      <w:r>
        <w:rPr>
          <w:rFonts w:ascii="Calibri" w:hAnsi="Calibri"/>
          <w:color w:val="3C4A5A"/>
          <w:sz w:val="20"/>
        </w:rPr>
        <w:t>IT asset inventory (laptops, desktops, monitors, phones, tablets, printers, servers), data centre electricity, cloud provider-reported emissions, Scope 2 + Scope 3 reporting, source traceability, Excel/PDF export, audit trail.</w:t>
      </w:r>
    </w:p>
    <w:p w14:paraId="268BD4D9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 xml:space="preserve">Out of scope (MVP): </w:t>
      </w:r>
      <w:r>
        <w:rPr>
          <w:rFonts w:ascii="Calibri" w:hAnsi="Calibri"/>
          <w:color w:val="3C4A5A"/>
          <w:sz w:val="20"/>
        </w:rPr>
        <w:t>Full enterprise Scope 1/2/3 accounting, supplier portals, automated AWS/Azure/GCP API integrations, real-time grid intensity, multi-step approval workflows, AI-driven reduction recommendations.</w:t>
      </w:r>
    </w:p>
    <w:p w14:paraId="5D7156D5" w14:textId="77777777" w:rsidR="00A50448" w:rsidRDefault="00000000">
      <w:r>
        <w:br/>
      </w:r>
      <w:r>
        <w:br w:type="page"/>
      </w:r>
    </w:p>
    <w:p w14:paraId="601D0697" w14:textId="77777777" w:rsidR="00A50448" w:rsidRDefault="00000000">
      <w:pPr>
        <w:spacing w:before="240" w:after="160"/>
      </w:pPr>
      <w:r>
        <w:rPr>
          <w:rFonts w:ascii="Calibri" w:hAnsi="Calibri"/>
          <w:b/>
          <w:color w:val="0A2540"/>
          <w:sz w:val="36"/>
        </w:rPr>
        <w:lastRenderedPageBreak/>
        <w:t>2. Goals, Scope and Non-Goals</w:t>
      </w:r>
    </w:p>
    <w:p w14:paraId="5492A732" w14:textId="77777777" w:rsidR="00A50448" w:rsidRDefault="00A50448">
      <w:pPr>
        <w:pBdr>
          <w:bottom w:val="single" w:sz="6" w:space="1" w:color="D7DEE5"/>
        </w:pBdr>
        <w:spacing w:after="120"/>
      </w:pPr>
    </w:p>
    <w:p w14:paraId="192508ED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2.1 Product goals</w:t>
      </w:r>
    </w:p>
    <w:p w14:paraId="3CD424D2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Produce an annual IT carbon footprint (kgCO₂e/year) split by Scope 2, Scope 3, asset category, and per-employee intensity.</w:t>
      </w:r>
    </w:p>
    <w:p w14:paraId="31955306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Make every number explainable: input → factor → formula → source → assumption.</w:t>
      </w:r>
    </w:p>
    <w:p w14:paraId="489ED2A3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Run deterministically: same inputs + same factor versions + same assumptions ⇒ same outputs (regression-testable).</w:t>
      </w:r>
    </w:p>
    <w:p w14:paraId="10039FAB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Be assurance-ready: an external reviewer can reproduce any line item.</w:t>
      </w:r>
    </w:p>
    <w:p w14:paraId="76111E89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2.2 MVP user value</w:t>
      </w:r>
    </w:p>
    <w:p w14:paraId="09CD6F8D" w14:textId="77777777" w:rsidR="00A50448" w:rsidRDefault="00000000">
      <w:pPr>
        <w:spacing w:after="80" w:line="240" w:lineRule="auto"/>
        <w:jc w:val="both"/>
      </w:pPr>
      <w:r>
        <w:rPr>
          <w:rFonts w:ascii="Calibri" w:hAnsi="Calibri"/>
          <w:color w:val="3C4A5A"/>
          <w:sz w:val="20"/>
        </w:rPr>
        <w:t>A KPMG consultant working with a mid-market client can, in under an hour, complete an assessment for a single reporting year and produce a defensible PDF/Excel report covering devices, data centre electricity, and cloud emissions, with full factor traceability.</w:t>
      </w:r>
    </w:p>
    <w:p w14:paraId="293D186A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2.3 Non-goals</w:t>
      </w:r>
    </w:p>
    <w:p w14:paraId="27DE6A15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 xml:space="preserve">We are not rebuilding the Excel workbook cell-for-cell. </w:t>
      </w:r>
      <w:r>
        <w:rPr>
          <w:rFonts w:ascii="Calibri" w:hAnsi="Calibri"/>
          <w:color w:val="3C4A5A"/>
          <w:sz w:val="20"/>
        </w:rPr>
        <w:t>We extract the formula family and source data; we do not preserve the workbook UX.</w:t>
      </w:r>
    </w:p>
    <w:p w14:paraId="1A987DB9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 xml:space="preserve">We are not building a generic ESG platform. </w:t>
      </w:r>
      <w:r>
        <w:rPr>
          <w:rFonts w:ascii="Calibri" w:hAnsi="Calibri"/>
          <w:color w:val="3C4A5A"/>
          <w:sz w:val="20"/>
        </w:rPr>
        <w:t>The MVP is intentionally narrow: IT assets, data centre electricity, cloud provider emissions.</w:t>
      </w:r>
    </w:p>
    <w:p w14:paraId="671BF0BB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 xml:space="preserve">We are not doing real-time grid carbon intensity, </w:t>
      </w:r>
      <w:r>
        <w:rPr>
          <w:rFonts w:ascii="Calibri" w:hAnsi="Calibri"/>
          <w:color w:val="3C4A5A"/>
          <w:sz w:val="20"/>
        </w:rPr>
        <w:t>supplier-side primary data collection, or AI reduction advice in v1.</w:t>
      </w:r>
    </w:p>
    <w:p w14:paraId="35EF1D8F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2.4 Success criteria</w:t>
      </w:r>
    </w:p>
    <w:tbl>
      <w:tblPr>
        <w:tblW w:w="0" w:type="auto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5670"/>
      </w:tblGrid>
      <w:tr w:rsidR="00A50448" w14:paraId="4F36DFC7" w14:textId="77777777">
        <w:tc>
          <w:tcPr>
            <w:tcW w:w="3685" w:type="dxa"/>
            <w:shd w:val="clear" w:color="auto" w:fill="0A2540"/>
          </w:tcPr>
          <w:p w14:paraId="314DD8CF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Criterion</w:t>
            </w:r>
          </w:p>
        </w:tc>
        <w:tc>
          <w:tcPr>
            <w:tcW w:w="5670" w:type="dxa"/>
            <w:shd w:val="clear" w:color="auto" w:fill="0A2540"/>
          </w:tcPr>
          <w:p w14:paraId="12833938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</w:tr>
      <w:tr w:rsidR="00A50448" w14:paraId="1DC48F01" w14:textId="77777777">
        <w:tc>
          <w:tcPr>
            <w:tcW w:w="3685" w:type="dxa"/>
          </w:tcPr>
          <w:p w14:paraId="0733A53F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Golden test reproducibility</w:t>
            </w:r>
          </w:p>
        </w:tc>
        <w:tc>
          <w:tcPr>
            <w:tcW w:w="5670" w:type="dxa"/>
          </w:tcPr>
          <w:p w14:paraId="63570E18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100% match against KPMG Excel reference cases</w:t>
            </w:r>
          </w:p>
        </w:tc>
      </w:tr>
      <w:tr w:rsidR="00A50448" w14:paraId="53338FD5" w14:textId="77777777">
        <w:tc>
          <w:tcPr>
            <w:tcW w:w="3685" w:type="dxa"/>
            <w:shd w:val="clear" w:color="auto" w:fill="F4F6F8"/>
          </w:tcPr>
          <w:p w14:paraId="18AEDC80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Time-to-first-result for a new client</w:t>
            </w:r>
          </w:p>
        </w:tc>
        <w:tc>
          <w:tcPr>
            <w:tcW w:w="5670" w:type="dxa"/>
            <w:shd w:val="clear" w:color="auto" w:fill="F4F6F8"/>
          </w:tcPr>
          <w:p w14:paraId="074DEAC1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≤ 60 minutes (8-step journey)</w:t>
            </w:r>
          </w:p>
        </w:tc>
      </w:tr>
      <w:tr w:rsidR="00A50448" w14:paraId="023C1B7F" w14:textId="77777777">
        <w:tc>
          <w:tcPr>
            <w:tcW w:w="3685" w:type="dxa"/>
          </w:tcPr>
          <w:p w14:paraId="7C21AE2D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Factor traceability coverage</w:t>
            </w:r>
          </w:p>
        </w:tc>
        <w:tc>
          <w:tcPr>
            <w:tcW w:w="5670" w:type="dxa"/>
          </w:tcPr>
          <w:p w14:paraId="3323DF59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100% of result rows link to a source_reference</w:t>
            </w:r>
          </w:p>
        </w:tc>
      </w:tr>
      <w:tr w:rsidR="00A50448" w14:paraId="1465B264" w14:textId="77777777">
        <w:tc>
          <w:tcPr>
            <w:tcW w:w="3685" w:type="dxa"/>
            <w:shd w:val="clear" w:color="auto" w:fill="F4F6F8"/>
          </w:tcPr>
          <w:p w14:paraId="56F79986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Assumption versioning</w:t>
            </w:r>
          </w:p>
        </w:tc>
        <w:tc>
          <w:tcPr>
            <w:tcW w:w="5670" w:type="dxa"/>
            <w:shd w:val="clear" w:color="auto" w:fill="F4F6F8"/>
          </w:tcPr>
          <w:p w14:paraId="73C980F8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Every published report references an immutable assumption set</w:t>
            </w:r>
          </w:p>
        </w:tc>
      </w:tr>
      <w:tr w:rsidR="00A50448" w14:paraId="68512EDF" w14:textId="77777777">
        <w:tc>
          <w:tcPr>
            <w:tcW w:w="3685" w:type="dxa"/>
          </w:tcPr>
          <w:p w14:paraId="1C796964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Re-run determinism</w:t>
            </w:r>
          </w:p>
        </w:tc>
        <w:tc>
          <w:tcPr>
            <w:tcW w:w="5670" w:type="dxa"/>
          </w:tcPr>
          <w:p w14:paraId="78CCEA9B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Hash(inputs + factor_version + assumption_version) = stable output</w:t>
            </w:r>
          </w:p>
        </w:tc>
      </w:tr>
    </w:tbl>
    <w:p w14:paraId="0D8016E1" w14:textId="77777777" w:rsidR="00A50448" w:rsidRDefault="00A50448">
      <w:pPr>
        <w:spacing w:after="80"/>
      </w:pPr>
    </w:p>
    <w:p w14:paraId="05FA5E81" w14:textId="77777777" w:rsidR="00A50448" w:rsidRDefault="00000000">
      <w:r>
        <w:br/>
      </w:r>
      <w:r>
        <w:br w:type="page"/>
      </w:r>
    </w:p>
    <w:p w14:paraId="71082725" w14:textId="77777777" w:rsidR="00A50448" w:rsidRDefault="00000000">
      <w:pPr>
        <w:spacing w:before="240" w:after="160"/>
      </w:pPr>
      <w:r>
        <w:rPr>
          <w:rFonts w:ascii="Calibri" w:hAnsi="Calibri"/>
          <w:b/>
          <w:color w:val="0A2540"/>
          <w:sz w:val="36"/>
        </w:rPr>
        <w:lastRenderedPageBreak/>
        <w:t>3. Domain Model &amp; Glossary</w:t>
      </w:r>
    </w:p>
    <w:p w14:paraId="60D29DB1" w14:textId="77777777" w:rsidR="00A50448" w:rsidRDefault="00A50448">
      <w:pPr>
        <w:pBdr>
          <w:bottom w:val="single" w:sz="6" w:space="1" w:color="D7DEE5"/>
        </w:pBdr>
        <w:spacing w:after="120"/>
      </w:pPr>
    </w:p>
    <w:p w14:paraId="0AF874D5" w14:textId="77777777" w:rsidR="00A50448" w:rsidRDefault="00000000">
      <w:pPr>
        <w:spacing w:after="80" w:line="240" w:lineRule="auto"/>
        <w:jc w:val="both"/>
      </w:pPr>
      <w:r>
        <w:rPr>
          <w:rFonts w:ascii="Calibri" w:hAnsi="Calibri"/>
          <w:color w:val="3C4A5A"/>
          <w:sz w:val="20"/>
        </w:rPr>
        <w:t xml:space="preserve">Carbon calculation is multiplication: </w:t>
      </w:r>
      <w:r>
        <w:rPr>
          <w:rFonts w:ascii="Calibri" w:hAnsi="Calibri"/>
          <w:b/>
          <w:color w:val="3C4A5A"/>
          <w:sz w:val="20"/>
        </w:rPr>
        <w:t>activity data × emission factor = emissions</w:t>
      </w:r>
      <w:r>
        <w:rPr>
          <w:rFonts w:ascii="Calibri" w:hAnsi="Calibri"/>
          <w:color w:val="3C4A5A"/>
          <w:sz w:val="20"/>
        </w:rPr>
        <w:t>. Most production mistakes are unit mistakes, wrong factor selection, missing source metadata, or undocumented assumptions. The domain language below is enforced at the type level in the codebase (see §5).</w:t>
      </w:r>
    </w:p>
    <w:tbl>
      <w:tblPr>
        <w:tblW w:w="0" w:type="auto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804"/>
      </w:tblGrid>
      <w:tr w:rsidR="00A50448" w14:paraId="7A584902" w14:textId="77777777">
        <w:tc>
          <w:tcPr>
            <w:tcW w:w="2551" w:type="dxa"/>
            <w:shd w:val="clear" w:color="auto" w:fill="0A2540"/>
          </w:tcPr>
          <w:p w14:paraId="78A6C792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w="6804" w:type="dxa"/>
            <w:shd w:val="clear" w:color="auto" w:fill="0A2540"/>
          </w:tcPr>
          <w:p w14:paraId="31433516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</w:tr>
      <w:tr w:rsidR="00A50448" w14:paraId="6727F50F" w14:textId="77777777">
        <w:tc>
          <w:tcPr>
            <w:tcW w:w="2551" w:type="dxa"/>
          </w:tcPr>
          <w:p w14:paraId="27F5BE86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Carbon footprint</w:t>
            </w:r>
          </w:p>
        </w:tc>
        <w:tc>
          <w:tcPr>
            <w:tcW w:w="6804" w:type="dxa"/>
          </w:tcPr>
          <w:p w14:paraId="199AEAA1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Greenhouse gas emissions from an activity, expressed as kgCO₂e or tCO₂e. 1 tCO₂e = 1,000 kgCO₂e.</w:t>
            </w:r>
          </w:p>
        </w:tc>
      </w:tr>
      <w:tr w:rsidR="00A50448" w14:paraId="40686593" w14:textId="77777777">
        <w:tc>
          <w:tcPr>
            <w:tcW w:w="2551" w:type="dxa"/>
            <w:shd w:val="clear" w:color="auto" w:fill="F4F6F8"/>
          </w:tcPr>
          <w:p w14:paraId="02F120BC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CO₂e (equivalent)</w:t>
            </w:r>
          </w:p>
        </w:tc>
        <w:tc>
          <w:tcPr>
            <w:tcW w:w="6804" w:type="dxa"/>
            <w:shd w:val="clear" w:color="auto" w:fill="F4F6F8"/>
          </w:tcPr>
          <w:p w14:paraId="77818F6E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Common measure that converts different greenhouse gases into a CO₂-equivalent value.</w:t>
            </w:r>
          </w:p>
        </w:tc>
      </w:tr>
      <w:tr w:rsidR="00A50448" w14:paraId="5EF719E6" w14:textId="77777777">
        <w:tc>
          <w:tcPr>
            <w:tcW w:w="2551" w:type="dxa"/>
          </w:tcPr>
          <w:p w14:paraId="000D977E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Activity data</w:t>
            </w:r>
          </w:p>
        </w:tc>
        <w:tc>
          <w:tcPr>
            <w:tcW w:w="6804" w:type="dxa"/>
          </w:tcPr>
          <w:p w14:paraId="24795D25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Quantitative measure of an activity: 100 laptops, 50,000 kWh, 15 flights, 100 cloud VM hours.</w:t>
            </w:r>
          </w:p>
        </w:tc>
      </w:tr>
      <w:tr w:rsidR="00A50448" w14:paraId="377B73F5" w14:textId="77777777">
        <w:tc>
          <w:tcPr>
            <w:tcW w:w="2551" w:type="dxa"/>
            <w:shd w:val="clear" w:color="auto" w:fill="F4F6F8"/>
          </w:tcPr>
          <w:p w14:paraId="48A982A4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Emission factor</w:t>
            </w:r>
          </w:p>
        </w:tc>
        <w:tc>
          <w:tcPr>
            <w:tcW w:w="6804" w:type="dxa"/>
            <w:shd w:val="clear" w:color="auto" w:fill="F4F6F8"/>
          </w:tcPr>
          <w:p w14:paraId="2A05B19C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kgCO₂e per unit of activity (e.g. 0.209 kgCO₂e/kWh for UK grid electricity).</w:t>
            </w:r>
          </w:p>
        </w:tc>
      </w:tr>
      <w:tr w:rsidR="00A50448" w14:paraId="65A0743C" w14:textId="77777777">
        <w:tc>
          <w:tcPr>
            <w:tcW w:w="2551" w:type="dxa"/>
          </w:tcPr>
          <w:p w14:paraId="161C4005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Scope 1</w:t>
            </w:r>
          </w:p>
        </w:tc>
        <w:tc>
          <w:tcPr>
            <w:tcW w:w="6804" w:type="dxa"/>
          </w:tcPr>
          <w:p w14:paraId="54D0B444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Direct emissions from sources the company owns/controls (vehicles, boilers, on-site fuel).</w:t>
            </w:r>
          </w:p>
        </w:tc>
      </w:tr>
      <w:tr w:rsidR="00A50448" w14:paraId="43E4CBBA" w14:textId="77777777">
        <w:tc>
          <w:tcPr>
            <w:tcW w:w="2551" w:type="dxa"/>
            <w:shd w:val="clear" w:color="auto" w:fill="F4F6F8"/>
          </w:tcPr>
          <w:p w14:paraId="57981257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Scope 2</w:t>
            </w:r>
          </w:p>
        </w:tc>
        <w:tc>
          <w:tcPr>
            <w:tcW w:w="6804" w:type="dxa"/>
            <w:shd w:val="clear" w:color="auto" w:fill="F4F6F8"/>
          </w:tcPr>
          <w:p w14:paraId="000466B5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Indirect emissions from purchased electricity, heat, steam, cooling.</w:t>
            </w:r>
          </w:p>
        </w:tc>
      </w:tr>
      <w:tr w:rsidR="00A50448" w14:paraId="30C297A2" w14:textId="77777777">
        <w:tc>
          <w:tcPr>
            <w:tcW w:w="2551" w:type="dxa"/>
          </w:tcPr>
          <w:p w14:paraId="3B686B39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Scope 3</w:t>
            </w:r>
          </w:p>
        </w:tc>
        <w:tc>
          <w:tcPr>
            <w:tcW w:w="6804" w:type="dxa"/>
          </w:tcPr>
          <w:p w14:paraId="2FE64A71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Indirect value-chain emissions (manufacturing, cloud, transport, purchased goods).</w:t>
            </w:r>
          </w:p>
        </w:tc>
      </w:tr>
      <w:tr w:rsidR="00A50448" w14:paraId="19CC2DF2" w14:textId="77777777">
        <w:tc>
          <w:tcPr>
            <w:tcW w:w="2551" w:type="dxa"/>
            <w:shd w:val="clear" w:color="auto" w:fill="F4F6F8"/>
          </w:tcPr>
          <w:p w14:paraId="343FFFBD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gwp_total</w:t>
            </w:r>
          </w:p>
        </w:tc>
        <w:tc>
          <w:tcPr>
            <w:tcW w:w="6804" w:type="dxa"/>
            <w:shd w:val="clear" w:color="auto" w:fill="F4F6F8"/>
          </w:tcPr>
          <w:p w14:paraId="1642BFFE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Cradle-to-grave global warming potential of a device, in kgCO₂e per unit.</w:t>
            </w:r>
          </w:p>
        </w:tc>
      </w:tr>
      <w:tr w:rsidR="00A50448" w14:paraId="024E10D2" w14:textId="77777777">
        <w:tc>
          <w:tcPr>
            <w:tcW w:w="2551" w:type="dxa"/>
          </w:tcPr>
          <w:p w14:paraId="490B5902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use_ratio / manufacturing_ratio</w:t>
            </w:r>
          </w:p>
        </w:tc>
        <w:tc>
          <w:tcPr>
            <w:tcW w:w="6804" w:type="dxa"/>
          </w:tcPr>
          <w:p w14:paraId="53626F20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Split of a device's lifecycle emissions between in-use electricity and embodied manufacturing.</w:t>
            </w:r>
          </w:p>
        </w:tc>
      </w:tr>
      <w:tr w:rsidR="00A50448" w14:paraId="59C6F6D1" w14:textId="77777777">
        <w:tc>
          <w:tcPr>
            <w:tcW w:w="2551" w:type="dxa"/>
            <w:shd w:val="clear" w:color="auto" w:fill="F4F6F8"/>
          </w:tcPr>
          <w:p w14:paraId="07E7F4E0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Reconditioning rate / benefit factor</w:t>
            </w:r>
          </w:p>
        </w:tc>
        <w:tc>
          <w:tcPr>
            <w:tcW w:w="6804" w:type="dxa"/>
            <w:shd w:val="clear" w:color="auto" w:fill="F4F6F8"/>
          </w:tcPr>
          <w:p w14:paraId="68A9EBC6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Share of fleet that is refurbished, and the embodied-emissions reduction this produces.</w:t>
            </w:r>
          </w:p>
        </w:tc>
      </w:tr>
      <w:tr w:rsidR="00A50448" w14:paraId="653C2A94" w14:textId="77777777">
        <w:tc>
          <w:tcPr>
            <w:tcW w:w="2551" w:type="dxa"/>
          </w:tcPr>
          <w:p w14:paraId="40F7900F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Country factor</w:t>
            </w:r>
          </w:p>
        </w:tc>
        <w:tc>
          <w:tcPr>
            <w:tcW w:w="6804" w:type="dxa"/>
          </w:tcPr>
          <w:p w14:paraId="745E6B02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Grid electricity emission factor (kgCO₂e/kWh) for a given country and reporting year.</w:t>
            </w:r>
          </w:p>
        </w:tc>
      </w:tr>
    </w:tbl>
    <w:p w14:paraId="503A5D89" w14:textId="77777777" w:rsidR="00A50448" w:rsidRDefault="00A50448">
      <w:pPr>
        <w:spacing w:after="80"/>
      </w:pPr>
    </w:p>
    <w:p w14:paraId="6A232E94" w14:textId="77777777" w:rsidR="00A50448" w:rsidRDefault="00000000">
      <w:pPr>
        <w:pBdr>
          <w:top w:val="single" w:sz="4" w:space="4" w:color="F4D35E"/>
          <w:left w:val="single" w:sz="4" w:space="4" w:color="F4D35E"/>
          <w:bottom w:val="single" w:sz="4" w:space="4" w:color="F4D35E"/>
          <w:right w:val="single" w:sz="4" w:space="4" w:color="F4D35E"/>
        </w:pBdr>
        <w:shd w:val="clear" w:color="auto" w:fill="FFF8E1"/>
        <w:spacing w:before="80" w:after="120"/>
      </w:pPr>
      <w:r>
        <w:rPr>
          <w:rFonts w:ascii="Calibri" w:hAnsi="Calibri"/>
          <w:b/>
          <w:color w:val="0A2540"/>
          <w:sz w:val="20"/>
        </w:rPr>
        <w:t xml:space="preserve">Why this matters. </w:t>
      </w:r>
      <w:r>
        <w:rPr>
          <w:rFonts w:ascii="Calibri" w:hAnsi="Calibri"/>
          <w:color w:val="0A2540"/>
          <w:sz w:val="20"/>
        </w:rPr>
        <w:t>For IT estates, Scope 3 (device manufacturing) typically dominates Scope 2 (electricity in use). This is why lifecycle extension, refurbishment, and procurement choices have the largest reduction lever — and why the data model must store both ratios explicitly.</w:t>
      </w:r>
    </w:p>
    <w:p w14:paraId="62BECD7D" w14:textId="77777777" w:rsidR="00A50448" w:rsidRDefault="00000000">
      <w:r>
        <w:br/>
      </w:r>
      <w:r>
        <w:br w:type="page"/>
      </w:r>
    </w:p>
    <w:p w14:paraId="4CDE1990" w14:textId="77777777" w:rsidR="00A50448" w:rsidRDefault="00000000">
      <w:pPr>
        <w:spacing w:before="240" w:after="160"/>
      </w:pPr>
      <w:r>
        <w:rPr>
          <w:rFonts w:ascii="Calibri" w:hAnsi="Calibri"/>
          <w:b/>
          <w:color w:val="0A2540"/>
          <w:sz w:val="36"/>
        </w:rPr>
        <w:lastRenderedPageBreak/>
        <w:t>4. Calculation Engine Specification</w:t>
      </w:r>
    </w:p>
    <w:p w14:paraId="7F878B64" w14:textId="77777777" w:rsidR="00A50448" w:rsidRDefault="00A50448">
      <w:pPr>
        <w:pBdr>
          <w:bottom w:val="single" w:sz="6" w:space="1" w:color="D7DEE5"/>
        </w:pBdr>
        <w:spacing w:after="120"/>
      </w:pPr>
    </w:p>
    <w:p w14:paraId="0DFB729E" w14:textId="77777777" w:rsidR="00A50448" w:rsidRDefault="00000000">
      <w:pPr>
        <w:spacing w:after="80" w:line="240" w:lineRule="auto"/>
        <w:jc w:val="both"/>
      </w:pPr>
      <w:r>
        <w:rPr>
          <w:rFonts w:ascii="Calibri" w:hAnsi="Calibri"/>
          <w:color w:val="3C4A5A"/>
          <w:sz w:val="20"/>
        </w:rPr>
        <w:t xml:space="preserve">The calculation engine is a </w:t>
      </w:r>
      <w:r>
        <w:rPr>
          <w:rFonts w:ascii="Calibri" w:hAnsi="Calibri"/>
          <w:b/>
          <w:color w:val="3C4A5A"/>
          <w:sz w:val="20"/>
        </w:rPr>
        <w:t>backend service</w:t>
      </w:r>
      <w:r>
        <w:rPr>
          <w:rFonts w:ascii="Calibri" w:hAnsi="Calibri"/>
          <w:color w:val="3C4A5A"/>
          <w:sz w:val="20"/>
        </w:rPr>
        <w:t>, not frontend JavaScript. The frontend collects inputs and renders results; the backend looks up factors, applies formulas, persists results, and writes the audit trail. This boundary is non-negotiable: it is what makes results reproducible.</w:t>
      </w:r>
    </w:p>
    <w:p w14:paraId="0268D179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4.1 Core formula family</w:t>
      </w:r>
    </w:p>
    <w:p w14:paraId="0A38B9AB" w14:textId="77777777" w:rsidR="00A50448" w:rsidRDefault="00000000">
      <w:pPr>
        <w:spacing w:after="80" w:line="240" w:lineRule="auto"/>
        <w:jc w:val="both"/>
      </w:pPr>
      <w:r>
        <w:rPr>
          <w:rFonts w:ascii="Calibri" w:hAnsi="Calibri"/>
          <w:color w:val="3C4A5A"/>
          <w:sz w:val="20"/>
        </w:rPr>
        <w:t>If you remember one formula, remember this:</w:t>
      </w:r>
    </w:p>
    <w:p w14:paraId="3D379D21" w14:textId="77777777" w:rsidR="00A50448" w:rsidRDefault="00000000">
      <w:pPr>
        <w:shd w:val="clear" w:color="auto" w:fill="1E1E1E"/>
        <w:spacing w:before="80" w:after="120"/>
        <w:ind w:left="113"/>
      </w:pPr>
      <w:r>
        <w:rPr>
          <w:rFonts w:ascii="Consolas" w:hAnsi="Consolas"/>
          <w:color w:val="FFFFFF"/>
          <w:sz w:val="18"/>
        </w:rPr>
        <w:t>Annual footprint = annual_use_emissions + annual_manufacturing_emissions</w:t>
      </w:r>
      <w:r>
        <w:rPr>
          <w:rFonts w:ascii="Consolas" w:hAnsi="Consolas"/>
          <w:color w:val="FFFFFF"/>
          <w:sz w:val="18"/>
        </w:rPr>
        <w:br/>
      </w:r>
      <w:r>
        <w:rPr>
          <w:rFonts w:ascii="Consolas" w:hAnsi="Consolas"/>
          <w:color w:val="FFFFFF"/>
          <w:sz w:val="18"/>
        </w:rPr>
        <w:br/>
        <w:t>Scope 2 / Use =</w:t>
      </w:r>
      <w:r>
        <w:rPr>
          <w:rFonts w:ascii="Consolas" w:hAnsi="Consolas"/>
          <w:color w:val="FFFFFF"/>
          <w:sz w:val="18"/>
        </w:rPr>
        <w:br/>
        <w:t xml:space="preserve">  quantity × gwp_total × use_ratio × country_factor ÷ lifespan</w:t>
      </w:r>
      <w:r>
        <w:rPr>
          <w:rFonts w:ascii="Consolas" w:hAnsi="Consolas"/>
          <w:color w:val="FFFFFF"/>
          <w:sz w:val="18"/>
        </w:rPr>
        <w:br/>
      </w:r>
      <w:r>
        <w:rPr>
          <w:rFonts w:ascii="Consolas" w:hAnsi="Consolas"/>
          <w:color w:val="FFFFFF"/>
          <w:sz w:val="18"/>
        </w:rPr>
        <w:br/>
        <w:t>Scope 3 / Manufacturing =</w:t>
      </w:r>
      <w:r>
        <w:rPr>
          <w:rFonts w:ascii="Consolas" w:hAnsi="Consolas"/>
          <w:color w:val="FFFFFF"/>
          <w:sz w:val="18"/>
        </w:rPr>
        <w:br/>
        <w:t xml:space="preserve">  quantity × gwp_total × manufacturing_ratio</w:t>
      </w:r>
      <w:r>
        <w:rPr>
          <w:rFonts w:ascii="Consolas" w:hAnsi="Consolas"/>
          <w:color w:val="FFFFFF"/>
          <w:sz w:val="18"/>
        </w:rPr>
        <w:br/>
        <w:t xml:space="preserve">    × (1 − reconditioning_rate × reconditioning_benefit_factor)</w:t>
      </w:r>
      <w:r>
        <w:rPr>
          <w:rFonts w:ascii="Consolas" w:hAnsi="Consolas"/>
          <w:color w:val="FFFFFF"/>
          <w:sz w:val="18"/>
        </w:rPr>
        <w:br/>
        <w:t xml:space="preserve">    ÷ lifespan</w:t>
      </w:r>
      <w:r>
        <w:rPr>
          <w:rFonts w:ascii="Consolas" w:hAnsi="Consolas"/>
          <w:color w:val="FFFFFF"/>
          <w:sz w:val="18"/>
        </w:rPr>
        <w:br/>
      </w:r>
      <w:r>
        <w:rPr>
          <w:rFonts w:ascii="Consolas" w:hAnsi="Consolas"/>
          <w:color w:val="FFFFFF"/>
          <w:sz w:val="18"/>
        </w:rPr>
        <w:br/>
        <w:t>Data centre = annual_kWh × country_electricity_factor</w:t>
      </w:r>
      <w:r>
        <w:rPr>
          <w:rFonts w:ascii="Consolas" w:hAnsi="Consolas"/>
          <w:color w:val="FFFFFF"/>
          <w:sz w:val="18"/>
        </w:rPr>
        <w:br/>
        <w:t>Cloud      = sum(provider_reported_kgCO2e)</w:t>
      </w:r>
      <w:r>
        <w:rPr>
          <w:rFonts w:ascii="Consolas" w:hAnsi="Consolas"/>
          <w:color w:val="FFFFFF"/>
          <w:sz w:val="18"/>
        </w:rPr>
        <w:br/>
        <w:t>Total      = sum(device totals) + data_centre + cloud</w:t>
      </w:r>
    </w:p>
    <w:p w14:paraId="1993DAD1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4.2 Worked example — single device line</w:t>
      </w:r>
    </w:p>
    <w:p w14:paraId="583E3454" w14:textId="77777777" w:rsidR="00A50448" w:rsidRDefault="00000000">
      <w:pPr>
        <w:shd w:val="clear" w:color="auto" w:fill="1E1E1E"/>
        <w:spacing w:before="80" w:after="120"/>
        <w:ind w:left="113"/>
      </w:pPr>
      <w:r>
        <w:rPr>
          <w:rFonts w:ascii="Consolas" w:hAnsi="Consolas"/>
          <w:color w:val="FFFFFF"/>
          <w:sz w:val="18"/>
        </w:rPr>
        <w:t>quantity              = 10 laptops</w:t>
      </w:r>
      <w:r>
        <w:rPr>
          <w:rFonts w:ascii="Consolas" w:hAnsi="Consolas"/>
          <w:color w:val="FFFFFF"/>
          <w:sz w:val="18"/>
        </w:rPr>
        <w:br/>
        <w:t>gwp_total             = 300  kgCO2e/device</w:t>
      </w:r>
      <w:r>
        <w:rPr>
          <w:rFonts w:ascii="Consolas" w:hAnsi="Consolas"/>
          <w:color w:val="FFFFFF"/>
          <w:sz w:val="18"/>
        </w:rPr>
        <w:br/>
        <w:t>use_ratio             = 0.20</w:t>
      </w:r>
      <w:r>
        <w:rPr>
          <w:rFonts w:ascii="Consolas" w:hAnsi="Consolas"/>
          <w:color w:val="FFFFFF"/>
          <w:sz w:val="18"/>
        </w:rPr>
        <w:br/>
        <w:t>manufacturing_ratio   = 0.80</w:t>
      </w:r>
      <w:r>
        <w:rPr>
          <w:rFonts w:ascii="Consolas" w:hAnsi="Consolas"/>
          <w:color w:val="FFFFFF"/>
          <w:sz w:val="18"/>
        </w:rPr>
        <w:br/>
        <w:t>country_factor (UK)   = 0.209  kgCO2e/kWh</w:t>
      </w:r>
      <w:r>
        <w:rPr>
          <w:rFonts w:ascii="Consolas" w:hAnsi="Consolas"/>
          <w:color w:val="FFFFFF"/>
          <w:sz w:val="18"/>
        </w:rPr>
        <w:br/>
        <w:t>lifespan              = 4 years</w:t>
      </w:r>
      <w:r>
        <w:rPr>
          <w:rFonts w:ascii="Consolas" w:hAnsi="Consolas"/>
          <w:color w:val="FFFFFF"/>
          <w:sz w:val="18"/>
        </w:rPr>
        <w:br/>
        <w:t>reconditioning_rate   = 0</w:t>
      </w:r>
      <w:r>
        <w:rPr>
          <w:rFonts w:ascii="Consolas" w:hAnsi="Consolas"/>
          <w:color w:val="FFFFFF"/>
          <w:sz w:val="18"/>
        </w:rPr>
        <w:br/>
      </w:r>
      <w:r>
        <w:rPr>
          <w:rFonts w:ascii="Consolas" w:hAnsi="Consolas"/>
          <w:color w:val="FFFFFF"/>
          <w:sz w:val="18"/>
        </w:rPr>
        <w:br/>
        <w:t>Use            = 10 × 300 × 0.20 × 0.209 ÷ 4 =  31.35 kgCO2e/year</w:t>
      </w:r>
      <w:r>
        <w:rPr>
          <w:rFonts w:ascii="Consolas" w:hAnsi="Consolas"/>
          <w:color w:val="FFFFFF"/>
          <w:sz w:val="18"/>
        </w:rPr>
        <w:br/>
        <w:t>Manufacturing  = 10 × 300 × 0.80 × 1 ÷ 4     = 600.00 kgCO2e/year</w:t>
      </w:r>
      <w:r>
        <w:rPr>
          <w:rFonts w:ascii="Consolas" w:hAnsi="Consolas"/>
          <w:color w:val="FFFFFF"/>
          <w:sz w:val="18"/>
        </w:rPr>
        <w:br/>
        <w:t>Total                                       = 631.35 kgCO2e/year</w:t>
      </w:r>
    </w:p>
    <w:p w14:paraId="656A6164" w14:textId="77777777" w:rsidR="00A50448" w:rsidRDefault="00000000">
      <w:pPr>
        <w:pBdr>
          <w:top w:val="single" w:sz="4" w:space="4" w:color="F4D35E"/>
          <w:left w:val="single" w:sz="4" w:space="4" w:color="F4D35E"/>
          <w:bottom w:val="single" w:sz="4" w:space="4" w:color="F4D35E"/>
          <w:right w:val="single" w:sz="4" w:space="4" w:color="F4D35E"/>
        </w:pBdr>
        <w:shd w:val="clear" w:color="auto" w:fill="FFF8E1"/>
        <w:spacing w:before="80" w:after="120"/>
      </w:pPr>
      <w:r>
        <w:rPr>
          <w:rFonts w:ascii="Calibri" w:hAnsi="Calibri"/>
          <w:b/>
          <w:color w:val="0A2540"/>
          <w:sz w:val="20"/>
        </w:rPr>
        <w:t xml:space="preserve">Observation. </w:t>
      </w:r>
      <w:r>
        <w:rPr>
          <w:rFonts w:ascii="Calibri" w:hAnsi="Calibri"/>
          <w:color w:val="0A2540"/>
          <w:sz w:val="20"/>
        </w:rPr>
        <w:t>Manufacturing dominates by ~19×. For IT footprints, procurement, lifespan extension, and refurbishment are the biggest reduction levers — this is what assumption levers must expose in the report.</w:t>
      </w:r>
    </w:p>
    <w:p w14:paraId="3D27223A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4.3 Engine contract (typed Python)</w:t>
      </w:r>
    </w:p>
    <w:p w14:paraId="2158F04D" w14:textId="77777777" w:rsidR="00A50448" w:rsidRDefault="00000000">
      <w:pPr>
        <w:shd w:val="clear" w:color="auto" w:fill="1E1E1E"/>
        <w:spacing w:before="80" w:after="120"/>
        <w:ind w:left="113"/>
      </w:pPr>
      <w:r>
        <w:rPr>
          <w:rFonts w:ascii="Consolas" w:hAnsi="Consolas"/>
          <w:color w:val="FFFFFF"/>
          <w:sz w:val="18"/>
        </w:rPr>
        <w:t>def calculate_device_footprint(</w:t>
      </w:r>
      <w:r>
        <w:rPr>
          <w:rFonts w:ascii="Consolas" w:hAnsi="Consolas"/>
          <w:color w:val="FFFFFF"/>
          <w:sz w:val="18"/>
        </w:rPr>
        <w:br/>
        <w:t xml:space="preserve">    item: AssetRow,</w:t>
      </w:r>
      <w:r>
        <w:rPr>
          <w:rFonts w:ascii="Consolas" w:hAnsi="Consolas"/>
          <w:color w:val="FFFFFF"/>
          <w:sz w:val="18"/>
        </w:rPr>
        <w:br/>
        <w:t xml:space="preserve">    factor: EmissionFactor,</w:t>
      </w:r>
      <w:r>
        <w:rPr>
          <w:rFonts w:ascii="Consolas" w:hAnsi="Consolas"/>
          <w:color w:val="FFFFFF"/>
          <w:sz w:val="18"/>
        </w:rPr>
        <w:br/>
        <w:t xml:space="preserve">    country_factor: CountryFactor,</w:t>
      </w:r>
      <w:r>
        <w:rPr>
          <w:rFonts w:ascii="Consolas" w:hAnsi="Consolas"/>
          <w:color w:val="FFFFFF"/>
          <w:sz w:val="18"/>
        </w:rPr>
        <w:br/>
        <w:t xml:space="preserve">    assumptions: AssumptionSet,</w:t>
      </w:r>
      <w:r>
        <w:rPr>
          <w:rFonts w:ascii="Consolas" w:hAnsi="Consolas"/>
          <w:color w:val="FFFFFF"/>
          <w:sz w:val="18"/>
        </w:rPr>
        <w:br/>
        <w:t>) -&gt; DeviceResult:</w:t>
      </w:r>
      <w:r>
        <w:rPr>
          <w:rFonts w:ascii="Consolas" w:hAnsi="Consolas"/>
          <w:color w:val="FFFFFF"/>
          <w:sz w:val="18"/>
        </w:rPr>
        <w:br/>
        <w:t xml:space="preserve">    lifespan = item.lifespan_years or factor.default_lifetime</w:t>
      </w:r>
      <w:r>
        <w:rPr>
          <w:rFonts w:ascii="Consolas" w:hAnsi="Consolas"/>
          <w:color w:val="FFFFFF"/>
          <w:sz w:val="18"/>
        </w:rPr>
        <w:br/>
      </w:r>
      <w:r>
        <w:rPr>
          <w:rFonts w:ascii="Consolas" w:hAnsi="Consolas"/>
          <w:color w:val="FFFFFF"/>
          <w:sz w:val="18"/>
        </w:rPr>
        <w:br/>
        <w:t xml:space="preserve">    use_emissions = (</w:t>
      </w:r>
      <w:r>
        <w:rPr>
          <w:rFonts w:ascii="Consolas" w:hAnsi="Consolas"/>
          <w:color w:val="FFFFFF"/>
          <w:sz w:val="18"/>
        </w:rPr>
        <w:br/>
        <w:t xml:space="preserve">        item.quantity * factor.gwp_total * factor.use_ratio</w:t>
      </w:r>
      <w:r>
        <w:rPr>
          <w:rFonts w:ascii="Consolas" w:hAnsi="Consolas"/>
          <w:color w:val="FFFFFF"/>
          <w:sz w:val="18"/>
        </w:rPr>
        <w:br/>
        <w:t xml:space="preserve">        * country_factor.kgco2e_per_kwh / lifespan</w:t>
      </w:r>
      <w:r>
        <w:rPr>
          <w:rFonts w:ascii="Consolas" w:hAnsi="Consolas"/>
          <w:color w:val="FFFFFF"/>
          <w:sz w:val="18"/>
        </w:rPr>
        <w:br/>
        <w:t xml:space="preserve">    )</w:t>
      </w:r>
      <w:r>
        <w:rPr>
          <w:rFonts w:ascii="Consolas" w:hAnsi="Consolas"/>
          <w:color w:val="FFFFFF"/>
          <w:sz w:val="18"/>
        </w:rPr>
        <w:br/>
      </w:r>
      <w:r>
        <w:rPr>
          <w:rFonts w:ascii="Consolas" w:hAnsi="Consolas"/>
          <w:color w:val="FFFFFF"/>
          <w:sz w:val="18"/>
        </w:rPr>
        <w:br/>
        <w:t xml:space="preserve">    manufacturing_emissions = (</w:t>
      </w:r>
      <w:r>
        <w:rPr>
          <w:rFonts w:ascii="Consolas" w:hAnsi="Consolas"/>
          <w:color w:val="FFFFFF"/>
          <w:sz w:val="18"/>
        </w:rPr>
        <w:br/>
        <w:t xml:space="preserve">        item.quantity * factor.gwp_total * factor.manufacturing_ratio</w:t>
      </w:r>
      <w:r>
        <w:rPr>
          <w:rFonts w:ascii="Consolas" w:hAnsi="Consolas"/>
          <w:color w:val="FFFFFF"/>
          <w:sz w:val="18"/>
        </w:rPr>
        <w:br/>
      </w:r>
      <w:r>
        <w:rPr>
          <w:rFonts w:ascii="Consolas" w:hAnsi="Consolas"/>
          <w:color w:val="FFFFFF"/>
          <w:sz w:val="18"/>
        </w:rPr>
        <w:lastRenderedPageBreak/>
        <w:t xml:space="preserve">        * (1 - item.reconditioning_rate</w:t>
      </w:r>
      <w:r>
        <w:rPr>
          <w:rFonts w:ascii="Consolas" w:hAnsi="Consolas"/>
          <w:color w:val="FFFFFF"/>
          <w:sz w:val="18"/>
        </w:rPr>
        <w:br/>
        <w:t xml:space="preserve">             * assumptions.reconditioning_benefit_factor)</w:t>
      </w:r>
      <w:r>
        <w:rPr>
          <w:rFonts w:ascii="Consolas" w:hAnsi="Consolas"/>
          <w:color w:val="FFFFFF"/>
          <w:sz w:val="18"/>
        </w:rPr>
        <w:br/>
        <w:t xml:space="preserve">        / lifespan</w:t>
      </w:r>
      <w:r>
        <w:rPr>
          <w:rFonts w:ascii="Consolas" w:hAnsi="Consolas"/>
          <w:color w:val="FFFFFF"/>
          <w:sz w:val="18"/>
        </w:rPr>
        <w:br/>
        <w:t xml:space="preserve">    )</w:t>
      </w:r>
      <w:r>
        <w:rPr>
          <w:rFonts w:ascii="Consolas" w:hAnsi="Consolas"/>
          <w:color w:val="FFFFFF"/>
          <w:sz w:val="18"/>
        </w:rPr>
        <w:br/>
      </w:r>
      <w:r>
        <w:rPr>
          <w:rFonts w:ascii="Consolas" w:hAnsi="Consolas"/>
          <w:color w:val="FFFFFF"/>
          <w:sz w:val="18"/>
        </w:rPr>
        <w:br/>
        <w:t xml:space="preserve">    total = use_emissions + manufacturing_emissions</w:t>
      </w:r>
      <w:r>
        <w:rPr>
          <w:rFonts w:ascii="Consolas" w:hAnsi="Consolas"/>
          <w:color w:val="FFFFFF"/>
          <w:sz w:val="18"/>
        </w:rPr>
        <w:br/>
        <w:t xml:space="preserve">    return DeviceResult(</w:t>
      </w:r>
      <w:r>
        <w:rPr>
          <w:rFonts w:ascii="Consolas" w:hAnsi="Consolas"/>
          <w:color w:val="FFFFFF"/>
          <w:sz w:val="18"/>
        </w:rPr>
        <w:br/>
        <w:t xml:space="preserve">        scope2_use=use_emissions,</w:t>
      </w:r>
      <w:r>
        <w:rPr>
          <w:rFonts w:ascii="Consolas" w:hAnsi="Consolas"/>
          <w:color w:val="FFFFFF"/>
          <w:sz w:val="18"/>
        </w:rPr>
        <w:br/>
        <w:t xml:space="preserve">        scope3_manufacturing=manufacturing_emissions,</w:t>
      </w:r>
      <w:r>
        <w:rPr>
          <w:rFonts w:ascii="Consolas" w:hAnsi="Consolas"/>
          <w:color w:val="FFFFFF"/>
          <w:sz w:val="18"/>
        </w:rPr>
        <w:br/>
        <w:t xml:space="preserve">        total=total,</w:t>
      </w:r>
      <w:r>
        <w:rPr>
          <w:rFonts w:ascii="Consolas" w:hAnsi="Consolas"/>
          <w:color w:val="FFFFFF"/>
          <w:sz w:val="18"/>
        </w:rPr>
        <w:br/>
        <w:t xml:space="preserve">        error_margin=total * factor.error_ratio,</w:t>
      </w:r>
      <w:r>
        <w:rPr>
          <w:rFonts w:ascii="Consolas" w:hAnsi="Consolas"/>
          <w:color w:val="FFFFFF"/>
          <w:sz w:val="18"/>
        </w:rPr>
        <w:br/>
        <w:t xml:space="preserve">    )</w:t>
      </w:r>
    </w:p>
    <w:p w14:paraId="6C077CA8" w14:textId="77777777" w:rsidR="00A50448" w:rsidRDefault="00000000">
      <w:pPr>
        <w:pBdr>
          <w:top w:val="single" w:sz="4" w:space="4" w:color="16A085"/>
          <w:left w:val="single" w:sz="4" w:space="4" w:color="16A085"/>
          <w:bottom w:val="single" w:sz="4" w:space="4" w:color="16A085"/>
          <w:right w:val="single" w:sz="4" w:space="4" w:color="16A085"/>
        </w:pBdr>
        <w:shd w:val="clear" w:color="auto" w:fill="E8F8F5"/>
        <w:spacing w:before="80" w:after="120"/>
      </w:pPr>
      <w:r>
        <w:rPr>
          <w:rFonts w:ascii="Calibri" w:hAnsi="Calibri"/>
          <w:b/>
          <w:color w:val="0A2540"/>
          <w:sz w:val="20"/>
        </w:rPr>
        <w:t xml:space="preserve">Determinism contract. </w:t>
      </w:r>
      <w:r>
        <w:rPr>
          <w:rFonts w:ascii="Calibri" w:hAnsi="Calibri"/>
          <w:color w:val="0A2540"/>
          <w:sz w:val="20"/>
        </w:rPr>
        <w:t>Same inputs + same factor versions + same assumption versions ⇒ byte-identical outputs. Engine writes calculation_result with the factor_version and assumption_version it used, so the result can be replayed indefinitely.</w:t>
      </w:r>
    </w:p>
    <w:p w14:paraId="76462C31" w14:textId="77777777" w:rsidR="00A50448" w:rsidRDefault="00000000">
      <w:r>
        <w:br/>
      </w:r>
      <w:r>
        <w:br w:type="page"/>
      </w:r>
    </w:p>
    <w:p w14:paraId="7D1A5B0B" w14:textId="77777777" w:rsidR="00A50448" w:rsidRDefault="00000000">
      <w:pPr>
        <w:spacing w:before="240" w:after="160"/>
      </w:pPr>
      <w:r>
        <w:rPr>
          <w:rFonts w:ascii="Calibri" w:hAnsi="Calibri"/>
          <w:b/>
          <w:color w:val="0A2540"/>
          <w:sz w:val="36"/>
        </w:rPr>
        <w:lastRenderedPageBreak/>
        <w:t>5. Data Model</w:t>
      </w:r>
    </w:p>
    <w:p w14:paraId="7723AFF3" w14:textId="77777777" w:rsidR="00A50448" w:rsidRDefault="00A50448">
      <w:pPr>
        <w:pBdr>
          <w:bottom w:val="single" w:sz="6" w:space="1" w:color="D7DEE5"/>
        </w:pBdr>
        <w:spacing w:after="120"/>
      </w:pPr>
    </w:p>
    <w:p w14:paraId="2F220054" w14:textId="77777777" w:rsidR="00A50448" w:rsidRDefault="00000000">
      <w:pPr>
        <w:spacing w:after="80" w:line="240" w:lineRule="auto"/>
        <w:jc w:val="both"/>
      </w:pPr>
      <w:r>
        <w:rPr>
          <w:rFonts w:ascii="Calibri" w:hAnsi="Calibri"/>
          <w:color w:val="3C4A5A"/>
          <w:sz w:val="20"/>
        </w:rPr>
        <w:t>Database design matters more than the frontend. The data model separates four concerns: (1) user inputs, (2) factors, (3) results, and (4) assumptions/source metadata. Inputs and factors are never colocated — that is what makes re-running a historical assessment with a different factor version possible.</w:t>
      </w:r>
    </w:p>
    <w:p w14:paraId="46736484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5.1 Core tables</w:t>
      </w:r>
    </w:p>
    <w:tbl>
      <w:tblPr>
        <w:tblW w:w="0" w:type="auto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2721"/>
        <w:gridCol w:w="4706"/>
      </w:tblGrid>
      <w:tr w:rsidR="00A50448" w14:paraId="4062B9D7" w14:textId="77777777">
        <w:tc>
          <w:tcPr>
            <w:tcW w:w="1927" w:type="dxa"/>
            <w:shd w:val="clear" w:color="auto" w:fill="0A2540"/>
          </w:tcPr>
          <w:p w14:paraId="53E3F92A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Table</w:t>
            </w:r>
          </w:p>
        </w:tc>
        <w:tc>
          <w:tcPr>
            <w:tcW w:w="2721" w:type="dxa"/>
            <w:shd w:val="clear" w:color="auto" w:fill="0A2540"/>
          </w:tcPr>
          <w:p w14:paraId="6BDA9899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w="4706" w:type="dxa"/>
            <w:shd w:val="clear" w:color="auto" w:fill="0A2540"/>
          </w:tcPr>
          <w:p w14:paraId="3C1D0557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 w:rsidR="00A50448" w14:paraId="3C001056" w14:textId="77777777">
        <w:tc>
          <w:tcPr>
            <w:tcW w:w="1927" w:type="dxa"/>
          </w:tcPr>
          <w:p w14:paraId="268041C7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organisation</w:t>
            </w:r>
          </w:p>
        </w:tc>
        <w:tc>
          <w:tcPr>
            <w:tcW w:w="2721" w:type="dxa"/>
          </w:tcPr>
          <w:p w14:paraId="21682C83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Customer tenant</w:t>
            </w:r>
          </w:p>
        </w:tc>
        <w:tc>
          <w:tcPr>
            <w:tcW w:w="4706" w:type="dxa"/>
          </w:tcPr>
          <w:p w14:paraId="3480606D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id, name, country, plan</w:t>
            </w:r>
          </w:p>
        </w:tc>
      </w:tr>
      <w:tr w:rsidR="00A50448" w14:paraId="18211191" w14:textId="77777777">
        <w:tc>
          <w:tcPr>
            <w:tcW w:w="1927" w:type="dxa"/>
            <w:shd w:val="clear" w:color="auto" w:fill="F4F6F8"/>
          </w:tcPr>
          <w:p w14:paraId="697F8BCE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assessment</w:t>
            </w:r>
          </w:p>
        </w:tc>
        <w:tc>
          <w:tcPr>
            <w:tcW w:w="2721" w:type="dxa"/>
            <w:shd w:val="clear" w:color="auto" w:fill="F4F6F8"/>
          </w:tcPr>
          <w:p w14:paraId="5D23527F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 single reporting cycle for one org</w:t>
            </w:r>
          </w:p>
        </w:tc>
        <w:tc>
          <w:tcPr>
            <w:tcW w:w="4706" w:type="dxa"/>
            <w:shd w:val="clear" w:color="auto" w:fill="F4F6F8"/>
          </w:tcPr>
          <w:p w14:paraId="2F20CB39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id, organisation_id, name, reporting_year, country, employee_count, status, created_by, created_at, assumption_set_id, factor_set_id</w:t>
            </w:r>
          </w:p>
        </w:tc>
      </w:tr>
      <w:tr w:rsidR="00A50448" w14:paraId="4965BF6F" w14:textId="77777777">
        <w:tc>
          <w:tcPr>
            <w:tcW w:w="1927" w:type="dxa"/>
          </w:tcPr>
          <w:p w14:paraId="47ABA292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asset_inventory</w:t>
            </w:r>
          </w:p>
        </w:tc>
        <w:tc>
          <w:tcPr>
            <w:tcW w:w="2721" w:type="dxa"/>
          </w:tcPr>
          <w:p w14:paraId="1E888C0A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User-entered IT estate rows</w:t>
            </w:r>
          </w:p>
        </w:tc>
        <w:tc>
          <w:tcPr>
            <w:tcW w:w="4706" w:type="dxa"/>
          </w:tcPr>
          <w:p w14:paraId="77711CAB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id, assessment_id, category, model_name, quantity, lifespan_years, reconditioning_rate, factor_id, notes, match_confidence</w:t>
            </w:r>
          </w:p>
        </w:tc>
      </w:tr>
      <w:tr w:rsidR="00A50448" w14:paraId="0CC12033" w14:textId="77777777">
        <w:tc>
          <w:tcPr>
            <w:tcW w:w="1927" w:type="dxa"/>
            <w:shd w:val="clear" w:color="auto" w:fill="F4F6F8"/>
          </w:tcPr>
          <w:p w14:paraId="5F6DF424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emission_factor</w:t>
            </w:r>
          </w:p>
        </w:tc>
        <w:tc>
          <w:tcPr>
            <w:tcW w:w="2721" w:type="dxa"/>
            <w:shd w:val="clear" w:color="auto" w:fill="F4F6F8"/>
          </w:tcPr>
          <w:p w14:paraId="183BFBB9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Versioned factor catalogue</w:t>
            </w:r>
          </w:p>
        </w:tc>
        <w:tc>
          <w:tcPr>
            <w:tcW w:w="4706" w:type="dxa"/>
            <w:shd w:val="clear" w:color="auto" w:fill="F4F6F8"/>
          </w:tcPr>
          <w:p w14:paraId="5034983C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id, factor_key, source, source_version, year, geography, unit, lifecycle_boundary, gwp_total, use_ratio, manufacturing_ratio, default_lifetime, error_ratio, last_updated_at</w:t>
            </w:r>
          </w:p>
        </w:tc>
      </w:tr>
      <w:tr w:rsidR="00A50448" w14:paraId="7DF69464" w14:textId="77777777">
        <w:tc>
          <w:tcPr>
            <w:tcW w:w="1927" w:type="dxa"/>
          </w:tcPr>
          <w:p w14:paraId="67FCF54E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country_factor</w:t>
            </w:r>
          </w:p>
        </w:tc>
        <w:tc>
          <w:tcPr>
            <w:tcW w:w="2721" w:type="dxa"/>
          </w:tcPr>
          <w:p w14:paraId="6E5B94B0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Grid electricity factor by country/year</w:t>
            </w:r>
          </w:p>
        </w:tc>
        <w:tc>
          <w:tcPr>
            <w:tcW w:w="4706" w:type="dxa"/>
          </w:tcPr>
          <w:p w14:paraId="4A641E98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id, country, year, kgco2e_per_kwh, source, source_version</w:t>
            </w:r>
          </w:p>
        </w:tc>
      </w:tr>
      <w:tr w:rsidR="00A50448" w14:paraId="14283A93" w14:textId="77777777">
        <w:tc>
          <w:tcPr>
            <w:tcW w:w="1927" w:type="dxa"/>
            <w:shd w:val="clear" w:color="auto" w:fill="F4F6F8"/>
          </w:tcPr>
          <w:p w14:paraId="77A7C519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assumption</w:t>
            </w:r>
          </w:p>
        </w:tc>
        <w:tc>
          <w:tcPr>
            <w:tcW w:w="2721" w:type="dxa"/>
            <w:shd w:val="clear" w:color="auto" w:fill="F4F6F8"/>
          </w:tcPr>
          <w:p w14:paraId="7A414B30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Versioned methodology constants</w:t>
            </w:r>
          </w:p>
        </w:tc>
        <w:tc>
          <w:tcPr>
            <w:tcW w:w="4706" w:type="dxa"/>
            <w:shd w:val="clear" w:color="auto" w:fill="F4F6F8"/>
          </w:tcPr>
          <w:p w14:paraId="35EE5B10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id, set_id, key, value, source, version, approved_by</w:t>
            </w:r>
          </w:p>
        </w:tc>
      </w:tr>
      <w:tr w:rsidR="00A50448" w14:paraId="2CE03F26" w14:textId="77777777">
        <w:tc>
          <w:tcPr>
            <w:tcW w:w="1927" w:type="dxa"/>
          </w:tcPr>
          <w:p w14:paraId="665BD0FF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calculation_result</w:t>
            </w:r>
          </w:p>
        </w:tc>
        <w:tc>
          <w:tcPr>
            <w:tcW w:w="2721" w:type="dxa"/>
          </w:tcPr>
          <w:p w14:paraId="6B6DBE4B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Engine output, immutable</w:t>
            </w:r>
          </w:p>
        </w:tc>
        <w:tc>
          <w:tcPr>
            <w:tcW w:w="4706" w:type="dxa"/>
          </w:tcPr>
          <w:p w14:paraId="6C2A4685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id, assessment_id, row_id, scope, category, value_kgco2e, factor_id, factor_version, assumption_set_id, formula_version, calculated_at</w:t>
            </w:r>
          </w:p>
        </w:tc>
      </w:tr>
      <w:tr w:rsidR="00A50448" w14:paraId="30DBE1EA" w14:textId="77777777">
        <w:tc>
          <w:tcPr>
            <w:tcW w:w="1927" w:type="dxa"/>
            <w:shd w:val="clear" w:color="auto" w:fill="F4F6F8"/>
          </w:tcPr>
          <w:p w14:paraId="31E35EC3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source_reference</w:t>
            </w:r>
          </w:p>
        </w:tc>
        <w:tc>
          <w:tcPr>
            <w:tcW w:w="2721" w:type="dxa"/>
            <w:shd w:val="clear" w:color="auto" w:fill="F4F6F8"/>
          </w:tcPr>
          <w:p w14:paraId="7AB71D07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Citation rows linked from results/factors</w:t>
            </w:r>
          </w:p>
        </w:tc>
        <w:tc>
          <w:tcPr>
            <w:tcW w:w="4706" w:type="dxa"/>
            <w:shd w:val="clear" w:color="auto" w:fill="F4F6F8"/>
          </w:tcPr>
          <w:p w14:paraId="5DE18C9A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id, kind, title, url_or_doc, version, geography, year</w:t>
            </w:r>
          </w:p>
        </w:tc>
      </w:tr>
      <w:tr w:rsidR="00A50448" w14:paraId="3DE5AF7C" w14:textId="77777777">
        <w:tc>
          <w:tcPr>
            <w:tcW w:w="1927" w:type="dxa"/>
          </w:tcPr>
          <w:p w14:paraId="7E768C0C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audit_log</w:t>
            </w:r>
          </w:p>
        </w:tc>
        <w:tc>
          <w:tcPr>
            <w:tcW w:w="2721" w:type="dxa"/>
          </w:tcPr>
          <w:p w14:paraId="24E7917C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Append-only event log</w:t>
            </w:r>
          </w:p>
        </w:tc>
        <w:tc>
          <w:tcPr>
            <w:tcW w:w="4706" w:type="dxa"/>
          </w:tcPr>
          <w:p w14:paraId="62C515E4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id, actor_id, entity, entity_id, action, before, after, at</w:t>
            </w:r>
          </w:p>
        </w:tc>
      </w:tr>
    </w:tbl>
    <w:p w14:paraId="2F89F1DA" w14:textId="77777777" w:rsidR="00A50448" w:rsidRDefault="00A50448">
      <w:pPr>
        <w:spacing w:after="80"/>
      </w:pPr>
    </w:p>
    <w:p w14:paraId="5A100ED0" w14:textId="77777777" w:rsidR="00A50448" w:rsidRDefault="00000000">
      <w:pPr>
        <w:pBdr>
          <w:top w:val="single" w:sz="4" w:space="4" w:color="16A085"/>
          <w:left w:val="single" w:sz="4" w:space="4" w:color="16A085"/>
          <w:bottom w:val="single" w:sz="4" w:space="4" w:color="16A085"/>
          <w:right w:val="single" w:sz="4" w:space="4" w:color="16A085"/>
        </w:pBdr>
        <w:shd w:val="clear" w:color="auto" w:fill="E8F8F5"/>
        <w:spacing w:before="80" w:after="120"/>
      </w:pPr>
      <w:r>
        <w:rPr>
          <w:rFonts w:ascii="Calibri" w:hAnsi="Calibri"/>
          <w:b/>
          <w:color w:val="0A2540"/>
          <w:sz w:val="20"/>
        </w:rPr>
        <w:t xml:space="preserve">Design rule. </w:t>
      </w:r>
      <w:r>
        <w:rPr>
          <w:rFonts w:ascii="Calibri" w:hAnsi="Calibri"/>
          <w:color w:val="0A2540"/>
          <w:sz w:val="20"/>
        </w:rPr>
        <w:t>The (emission_factor, country_factor, assumption) tables are governed datasets — they are not edited by end users. They are loaded via an admin import pipeline (§7.4) and versioned. Every calculation_result row pins the factor_version, assumption_set_id, and formula_version it consumed, so historical assessments remain reproducible after factor refreshes.</w:t>
      </w:r>
    </w:p>
    <w:p w14:paraId="35151A81" w14:textId="77777777" w:rsidR="00A50448" w:rsidRDefault="00000000">
      <w:r>
        <w:br/>
      </w:r>
      <w:r>
        <w:br w:type="page"/>
      </w:r>
    </w:p>
    <w:p w14:paraId="05A691A5" w14:textId="77777777" w:rsidR="00A50448" w:rsidRDefault="00000000">
      <w:pPr>
        <w:spacing w:before="240" w:after="160"/>
      </w:pPr>
      <w:r>
        <w:rPr>
          <w:rFonts w:ascii="Calibri" w:hAnsi="Calibri"/>
          <w:b/>
          <w:color w:val="0A2540"/>
          <w:sz w:val="36"/>
        </w:rPr>
        <w:lastRenderedPageBreak/>
        <w:t>6. Source Data Strategy &amp; Factor Governance</w:t>
      </w:r>
    </w:p>
    <w:p w14:paraId="622E250E" w14:textId="77777777" w:rsidR="00A50448" w:rsidRDefault="00A50448">
      <w:pPr>
        <w:pBdr>
          <w:bottom w:val="single" w:sz="6" w:space="1" w:color="D7DEE5"/>
        </w:pBdr>
        <w:spacing w:after="120"/>
      </w:pPr>
    </w:p>
    <w:p w14:paraId="1F507A2E" w14:textId="77777777" w:rsidR="00A50448" w:rsidRDefault="00000000">
      <w:pPr>
        <w:spacing w:after="80" w:line="240" w:lineRule="auto"/>
        <w:jc w:val="both"/>
      </w:pPr>
      <w:r>
        <w:rPr>
          <w:rFonts w:ascii="Calibri" w:hAnsi="Calibri"/>
          <w:color w:val="3C4A5A"/>
          <w:sz w:val="20"/>
        </w:rPr>
        <w:t>Do not hardcode factors. Treat source data as governed datasets with explicit versioning, geography, year, unit, and lifecycle boundary. Without metadata the calculator is impossible to trust; with it, the calculator is assurance-friendly.</w:t>
      </w:r>
    </w:p>
    <w:p w14:paraId="6D6C065B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6.1 Authoritative sources</w:t>
      </w:r>
    </w:p>
    <w:tbl>
      <w:tblPr>
        <w:tblW w:w="0" w:type="auto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118"/>
      </w:tblGrid>
      <w:tr w:rsidR="00A50448" w14:paraId="5770F668" w14:textId="77777777">
        <w:tc>
          <w:tcPr>
            <w:tcW w:w="2268" w:type="dxa"/>
            <w:shd w:val="clear" w:color="auto" w:fill="0A2540"/>
          </w:tcPr>
          <w:p w14:paraId="643CD47B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w="3969" w:type="dxa"/>
            <w:shd w:val="clear" w:color="auto" w:fill="0A2540"/>
          </w:tcPr>
          <w:p w14:paraId="0CB0639B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Used for</w:t>
            </w:r>
          </w:p>
        </w:tc>
        <w:tc>
          <w:tcPr>
            <w:tcW w:w="3118" w:type="dxa"/>
            <w:shd w:val="clear" w:color="auto" w:fill="0A2540"/>
          </w:tcPr>
          <w:p w14:paraId="65E9DA84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Boundary</w:t>
            </w:r>
          </w:p>
        </w:tc>
      </w:tr>
      <w:tr w:rsidR="00A50448" w14:paraId="45CC90E7" w14:textId="77777777">
        <w:tc>
          <w:tcPr>
            <w:tcW w:w="2268" w:type="dxa"/>
          </w:tcPr>
          <w:p w14:paraId="23A9E8AC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Boavizta</w:t>
            </w:r>
          </w:p>
        </w:tc>
        <w:tc>
          <w:tcPr>
            <w:tcW w:w="3969" w:type="dxa"/>
          </w:tcPr>
          <w:p w14:paraId="484FCFBF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Digital equipment, IT infrastructure (laptops, servers, etc.)</w:t>
            </w:r>
          </w:p>
        </w:tc>
        <w:tc>
          <w:tcPr>
            <w:tcW w:w="3118" w:type="dxa"/>
          </w:tcPr>
          <w:p w14:paraId="38E1B43E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Cradle-to-grave, manufacturer-specific where available</w:t>
            </w:r>
          </w:p>
        </w:tc>
      </w:tr>
      <w:tr w:rsidR="00A50448" w14:paraId="4CECF5B0" w14:textId="77777777">
        <w:tc>
          <w:tcPr>
            <w:tcW w:w="2268" w:type="dxa"/>
            <w:shd w:val="clear" w:color="auto" w:fill="F4F6F8"/>
          </w:tcPr>
          <w:p w14:paraId="53DFDAB7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ADEME / Base Empreinte</w:t>
            </w:r>
          </w:p>
        </w:tc>
        <w:tc>
          <w:tcPr>
            <w:tcW w:w="3969" w:type="dxa"/>
            <w:shd w:val="clear" w:color="auto" w:fill="F4F6F8"/>
          </w:tcPr>
          <w:p w14:paraId="4DD66E6E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Public reference, fallback when Boavizta has no match</w:t>
            </w:r>
          </w:p>
        </w:tc>
        <w:tc>
          <w:tcPr>
            <w:tcW w:w="3118" w:type="dxa"/>
            <w:shd w:val="clear" w:color="auto" w:fill="F4F6F8"/>
          </w:tcPr>
          <w:p w14:paraId="36574488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France methodology, used as generic category fallback</w:t>
            </w:r>
          </w:p>
        </w:tc>
      </w:tr>
      <w:tr w:rsidR="00A50448" w14:paraId="6B6E5403" w14:textId="77777777">
        <w:tc>
          <w:tcPr>
            <w:tcW w:w="2268" w:type="dxa"/>
          </w:tcPr>
          <w:p w14:paraId="399A4A70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UK Government conversion factors</w:t>
            </w:r>
          </w:p>
        </w:tc>
        <w:tc>
          <w:tcPr>
            <w:tcW w:w="3969" w:type="dxa"/>
          </w:tcPr>
          <w:p w14:paraId="6F267AEF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UK electricity, fuels, transport, annual reporting factors</w:t>
            </w:r>
          </w:p>
        </w:tc>
        <w:tc>
          <w:tcPr>
            <w:tcW w:w="3118" w:type="dxa"/>
          </w:tcPr>
          <w:p w14:paraId="32471145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Annual publication, country = UK</w:t>
            </w:r>
          </w:p>
        </w:tc>
      </w:tr>
      <w:tr w:rsidR="00A50448" w14:paraId="1FD52F2F" w14:textId="77777777">
        <w:tc>
          <w:tcPr>
            <w:tcW w:w="2268" w:type="dxa"/>
            <w:shd w:val="clear" w:color="auto" w:fill="F4F6F8"/>
          </w:tcPr>
          <w:p w14:paraId="0299F007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Cloud provider reports</w:t>
            </w:r>
          </w:p>
        </w:tc>
        <w:tc>
          <w:tcPr>
            <w:tcW w:w="3969" w:type="dxa"/>
            <w:shd w:val="clear" w:color="auto" w:fill="F4F6F8"/>
          </w:tcPr>
          <w:p w14:paraId="6699F69C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AWS / Azure / GCP self-reported customer emissions</w:t>
            </w:r>
          </w:p>
        </w:tc>
        <w:tc>
          <w:tcPr>
            <w:tcW w:w="3118" w:type="dxa"/>
            <w:shd w:val="clear" w:color="auto" w:fill="F4F6F8"/>
          </w:tcPr>
          <w:p w14:paraId="3B96B61C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Provider-reported, treated as Scope 3</w:t>
            </w:r>
          </w:p>
        </w:tc>
      </w:tr>
    </w:tbl>
    <w:p w14:paraId="507FDDD6" w14:textId="77777777" w:rsidR="00A50448" w:rsidRDefault="00A50448">
      <w:pPr>
        <w:spacing w:after="80"/>
      </w:pPr>
    </w:p>
    <w:p w14:paraId="546E4AAF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6.2 Required factor metadata</w:t>
      </w:r>
    </w:p>
    <w:p w14:paraId="263403A7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source</w:t>
      </w:r>
      <w:r>
        <w:rPr>
          <w:rFonts w:ascii="Calibri" w:hAnsi="Calibri"/>
          <w:color w:val="3C4A5A"/>
          <w:sz w:val="20"/>
        </w:rPr>
        <w:t xml:space="preserve"> — Boavizta / ADEME / UK Gov / provider name</w:t>
      </w:r>
    </w:p>
    <w:p w14:paraId="347CDC9C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source_version</w:t>
      </w:r>
      <w:r>
        <w:rPr>
          <w:rFonts w:ascii="Calibri" w:hAnsi="Calibri"/>
          <w:color w:val="3C4A5A"/>
          <w:sz w:val="20"/>
        </w:rPr>
        <w:t xml:space="preserve"> — dataset release identifier (e.g. Boavizta 2024-Q4)</w:t>
      </w:r>
    </w:p>
    <w:p w14:paraId="35281654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year</w:t>
      </w:r>
      <w:r>
        <w:rPr>
          <w:rFonts w:ascii="Calibri" w:hAnsi="Calibri"/>
          <w:color w:val="3C4A5A"/>
          <w:sz w:val="20"/>
        </w:rPr>
        <w:t xml:space="preserve"> — reporting year the factor is valid for</w:t>
      </w:r>
    </w:p>
    <w:p w14:paraId="5DED5D32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geography</w:t>
      </w:r>
      <w:r>
        <w:rPr>
          <w:rFonts w:ascii="Calibri" w:hAnsi="Calibri"/>
          <w:color w:val="3C4A5A"/>
          <w:sz w:val="20"/>
        </w:rPr>
        <w:t xml:space="preserve"> — country/region code (ISO 3166-1)</w:t>
      </w:r>
    </w:p>
    <w:p w14:paraId="761D2858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unit</w:t>
      </w:r>
      <w:r>
        <w:rPr>
          <w:rFonts w:ascii="Calibri" w:hAnsi="Calibri"/>
          <w:color w:val="3C4A5A"/>
          <w:sz w:val="20"/>
        </w:rPr>
        <w:t xml:space="preserve"> — explicit unit string (kgCO₂e/kWh, kgCO₂e/device, kgCO₂e/year, tCO₂e/year)</w:t>
      </w:r>
    </w:p>
    <w:p w14:paraId="57A1A85C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lifecycle_boundary</w:t>
      </w:r>
      <w:r>
        <w:rPr>
          <w:rFonts w:ascii="Calibri" w:hAnsi="Calibri"/>
          <w:color w:val="3C4A5A"/>
          <w:sz w:val="20"/>
        </w:rPr>
        <w:t xml:space="preserve"> — cradle-to-gate, cradle-to-grave, use-phase only, etc.</w:t>
      </w:r>
    </w:p>
    <w:p w14:paraId="6FC4BCF1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last_updated_at</w:t>
      </w:r>
      <w:r>
        <w:rPr>
          <w:rFonts w:ascii="Calibri" w:hAnsi="Calibri"/>
          <w:color w:val="3C4A5A"/>
          <w:sz w:val="20"/>
        </w:rPr>
        <w:t xml:space="preserve"> — ingestion timestamp</w:t>
      </w:r>
    </w:p>
    <w:p w14:paraId="69915C7D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confidence / error_rating</w:t>
      </w:r>
      <w:r>
        <w:rPr>
          <w:rFonts w:ascii="Calibri" w:hAnsi="Calibri"/>
          <w:color w:val="3C4A5A"/>
          <w:sz w:val="20"/>
        </w:rPr>
        <w:t xml:space="preserve"> — exact, high, estimated, manual, unknown</w:t>
      </w:r>
    </w:p>
    <w:p w14:paraId="089619D4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6.3 Factor matching hierarchy</w:t>
      </w:r>
    </w:p>
    <w:p w14:paraId="01699B82" w14:textId="77777777" w:rsidR="00A50448" w:rsidRDefault="00000000">
      <w:pPr>
        <w:spacing w:after="80" w:line="240" w:lineRule="auto"/>
        <w:jc w:val="both"/>
      </w:pPr>
      <w:r>
        <w:rPr>
          <w:rFonts w:ascii="Calibri" w:hAnsi="Calibri"/>
          <w:color w:val="3C4A5A"/>
          <w:sz w:val="20"/>
        </w:rPr>
        <w:t xml:space="preserve">Users will write the same device many ways: </w:t>
      </w:r>
      <w:r>
        <w:rPr>
          <w:rFonts w:ascii="Calibri" w:hAnsi="Calibri"/>
          <w:i/>
          <w:color w:val="3C4A5A"/>
          <w:sz w:val="20"/>
        </w:rPr>
        <w:t>Dell Latitude 5420, Latitude 5420, Dell 5420 laptop, 5420</w:t>
      </w:r>
      <w:r>
        <w:rPr>
          <w:rFonts w:ascii="Calibri" w:hAnsi="Calibri"/>
          <w:color w:val="3C4A5A"/>
          <w:sz w:val="20"/>
        </w:rPr>
        <w:t>. The factor lookup walks a confidence-aware hierarchy:</w:t>
      </w:r>
    </w:p>
    <w:tbl>
      <w:tblPr>
        <w:tblW w:w="0" w:type="auto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5670"/>
        <w:gridCol w:w="2835"/>
      </w:tblGrid>
      <w:tr w:rsidR="00A50448" w14:paraId="5763A2C7" w14:textId="77777777">
        <w:tc>
          <w:tcPr>
            <w:tcW w:w="850" w:type="dxa"/>
            <w:shd w:val="clear" w:color="auto" w:fill="0A2540"/>
          </w:tcPr>
          <w:p w14:paraId="4B7F7443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  <w:tc>
          <w:tcPr>
            <w:tcW w:w="5670" w:type="dxa"/>
            <w:shd w:val="clear" w:color="auto" w:fill="0A2540"/>
          </w:tcPr>
          <w:p w14:paraId="739C045B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Strategy</w:t>
            </w:r>
          </w:p>
        </w:tc>
        <w:tc>
          <w:tcPr>
            <w:tcW w:w="2835" w:type="dxa"/>
            <w:shd w:val="clear" w:color="auto" w:fill="0A2540"/>
          </w:tcPr>
          <w:p w14:paraId="43601071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Stored confidence</w:t>
            </w:r>
          </w:p>
        </w:tc>
      </w:tr>
      <w:tr w:rsidR="00A50448" w14:paraId="6496E98B" w14:textId="77777777">
        <w:tc>
          <w:tcPr>
            <w:tcW w:w="850" w:type="dxa"/>
          </w:tcPr>
          <w:p w14:paraId="2468A36E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1</w:t>
            </w:r>
          </w:p>
        </w:tc>
        <w:tc>
          <w:tcPr>
            <w:tcW w:w="5670" w:type="dxa"/>
          </w:tcPr>
          <w:p w14:paraId="5D528575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Exact model match</w:t>
            </w:r>
          </w:p>
        </w:tc>
        <w:tc>
          <w:tcPr>
            <w:tcW w:w="2835" w:type="dxa"/>
          </w:tcPr>
          <w:p w14:paraId="41D6B2D2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Exact</w:t>
            </w:r>
          </w:p>
        </w:tc>
      </w:tr>
      <w:tr w:rsidR="00A50448" w14:paraId="3FD8C921" w14:textId="77777777">
        <w:tc>
          <w:tcPr>
            <w:tcW w:w="850" w:type="dxa"/>
            <w:shd w:val="clear" w:color="auto" w:fill="F4F6F8"/>
          </w:tcPr>
          <w:p w14:paraId="0C8A6FBD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2</w:t>
            </w:r>
          </w:p>
        </w:tc>
        <w:tc>
          <w:tcPr>
            <w:tcW w:w="5670" w:type="dxa"/>
            <w:shd w:val="clear" w:color="auto" w:fill="F4F6F8"/>
          </w:tcPr>
          <w:p w14:paraId="35ED4AE7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Manufacturer + model fuzzy match</w:t>
            </w:r>
          </w:p>
        </w:tc>
        <w:tc>
          <w:tcPr>
            <w:tcW w:w="2835" w:type="dxa"/>
            <w:shd w:val="clear" w:color="auto" w:fill="F4F6F8"/>
          </w:tcPr>
          <w:p w14:paraId="6B5F3DF5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High confidence</w:t>
            </w:r>
          </w:p>
        </w:tc>
      </w:tr>
      <w:tr w:rsidR="00A50448" w14:paraId="25879F43" w14:textId="77777777">
        <w:tc>
          <w:tcPr>
            <w:tcW w:w="850" w:type="dxa"/>
          </w:tcPr>
          <w:p w14:paraId="7AA8CAD4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3</w:t>
            </w:r>
          </w:p>
        </w:tc>
        <w:tc>
          <w:tcPr>
            <w:tcW w:w="5670" w:type="dxa"/>
          </w:tcPr>
          <w:p w14:paraId="387A3109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Category + tier fallback (e.g. laptop / mid-range)</w:t>
            </w:r>
          </w:p>
        </w:tc>
        <w:tc>
          <w:tcPr>
            <w:tcW w:w="2835" w:type="dxa"/>
          </w:tcPr>
          <w:p w14:paraId="42B7F039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Estimated</w:t>
            </w:r>
          </w:p>
        </w:tc>
      </w:tr>
      <w:tr w:rsidR="00A50448" w14:paraId="7C2136C2" w14:textId="77777777">
        <w:tc>
          <w:tcPr>
            <w:tcW w:w="850" w:type="dxa"/>
            <w:shd w:val="clear" w:color="auto" w:fill="F4F6F8"/>
          </w:tcPr>
          <w:p w14:paraId="5EF59E09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4</w:t>
            </w:r>
          </w:p>
        </w:tc>
        <w:tc>
          <w:tcPr>
            <w:tcW w:w="5670" w:type="dxa"/>
            <w:shd w:val="clear" w:color="auto" w:fill="F4F6F8"/>
          </w:tcPr>
          <w:p w14:paraId="0FBCB12A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ADEME generic category fallback</w:t>
            </w:r>
          </w:p>
        </w:tc>
        <w:tc>
          <w:tcPr>
            <w:tcW w:w="2835" w:type="dxa"/>
            <w:shd w:val="clear" w:color="auto" w:fill="F4F6F8"/>
          </w:tcPr>
          <w:p w14:paraId="54E54F54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Estimated</w:t>
            </w:r>
          </w:p>
        </w:tc>
      </w:tr>
      <w:tr w:rsidR="00A50448" w14:paraId="107C1774" w14:textId="77777777">
        <w:tc>
          <w:tcPr>
            <w:tcW w:w="850" w:type="dxa"/>
          </w:tcPr>
          <w:p w14:paraId="213EAA3D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5</w:t>
            </w:r>
          </w:p>
        </w:tc>
        <w:tc>
          <w:tcPr>
            <w:tcW w:w="5670" w:type="dxa"/>
          </w:tcPr>
          <w:p w14:paraId="7C15A014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Manual factor entry by user/admin</w:t>
            </w:r>
          </w:p>
        </w:tc>
        <w:tc>
          <w:tcPr>
            <w:tcW w:w="2835" w:type="dxa"/>
          </w:tcPr>
          <w:p w14:paraId="64AB08C3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Manual</w:t>
            </w:r>
          </w:p>
        </w:tc>
      </w:tr>
    </w:tbl>
    <w:p w14:paraId="039C853A" w14:textId="77777777" w:rsidR="00A50448" w:rsidRDefault="00A50448">
      <w:pPr>
        <w:spacing w:after="80"/>
      </w:pPr>
    </w:p>
    <w:p w14:paraId="26AFAB82" w14:textId="77777777" w:rsidR="00A50448" w:rsidRDefault="00000000">
      <w:pPr>
        <w:pBdr>
          <w:top w:val="single" w:sz="4" w:space="4" w:color="16A085"/>
          <w:left w:val="single" w:sz="4" w:space="4" w:color="16A085"/>
          <w:bottom w:val="single" w:sz="4" w:space="4" w:color="16A085"/>
          <w:right w:val="single" w:sz="4" w:space="4" w:color="16A085"/>
        </w:pBdr>
        <w:shd w:val="clear" w:color="auto" w:fill="E8F8F5"/>
        <w:spacing w:before="80" w:after="120"/>
      </w:pPr>
      <w:r>
        <w:rPr>
          <w:rFonts w:ascii="Calibri" w:hAnsi="Calibri"/>
          <w:b/>
          <w:color w:val="0A2540"/>
          <w:sz w:val="20"/>
        </w:rPr>
        <w:t xml:space="preserve">UI obligation. </w:t>
      </w:r>
      <w:r>
        <w:rPr>
          <w:rFonts w:ascii="Calibri" w:hAnsi="Calibri"/>
          <w:color w:val="0A2540"/>
          <w:sz w:val="20"/>
        </w:rPr>
        <w:t>The asset inventory must visibly tell the user the match confidence on every row — a model-specific Boavizta factor is qualitatively different from a generic laptop estimate, and reviewers must see which is which.</w:t>
      </w:r>
    </w:p>
    <w:p w14:paraId="3C535EDD" w14:textId="77777777" w:rsidR="00A50448" w:rsidRDefault="00000000">
      <w:r>
        <w:br/>
      </w:r>
      <w:r>
        <w:br w:type="page"/>
      </w:r>
    </w:p>
    <w:p w14:paraId="656B0672" w14:textId="77777777" w:rsidR="00A50448" w:rsidRDefault="00000000">
      <w:pPr>
        <w:spacing w:before="240" w:after="160"/>
      </w:pPr>
      <w:r>
        <w:rPr>
          <w:rFonts w:ascii="Calibri" w:hAnsi="Calibri"/>
          <w:b/>
          <w:color w:val="0A2540"/>
          <w:sz w:val="36"/>
        </w:rPr>
        <w:lastRenderedPageBreak/>
        <w:t>7. System Architecture</w:t>
      </w:r>
    </w:p>
    <w:p w14:paraId="55E32C2A" w14:textId="77777777" w:rsidR="00A50448" w:rsidRDefault="00A50448">
      <w:pPr>
        <w:pBdr>
          <w:bottom w:val="single" w:sz="6" w:space="1" w:color="D7DEE5"/>
        </w:pBdr>
        <w:spacing w:after="120"/>
      </w:pPr>
    </w:p>
    <w:p w14:paraId="07221E8E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7.1 Technology choices (opinionated)</w:t>
      </w:r>
    </w:p>
    <w:tbl>
      <w:tblPr>
        <w:tblW w:w="0" w:type="auto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3118"/>
        <w:gridCol w:w="4706"/>
      </w:tblGrid>
      <w:tr w:rsidR="00A50448" w14:paraId="54C5C890" w14:textId="77777777">
        <w:tc>
          <w:tcPr>
            <w:tcW w:w="1530" w:type="dxa"/>
            <w:shd w:val="clear" w:color="auto" w:fill="0A2540"/>
          </w:tcPr>
          <w:p w14:paraId="42FAD227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3118" w:type="dxa"/>
            <w:shd w:val="clear" w:color="auto" w:fill="0A2540"/>
          </w:tcPr>
          <w:p w14:paraId="2B5CEE39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Choice</w:t>
            </w:r>
          </w:p>
        </w:tc>
        <w:tc>
          <w:tcPr>
            <w:tcW w:w="4706" w:type="dxa"/>
            <w:shd w:val="clear" w:color="auto" w:fill="0A2540"/>
          </w:tcPr>
          <w:p w14:paraId="272BC232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Rationale</w:t>
            </w:r>
          </w:p>
        </w:tc>
      </w:tr>
      <w:tr w:rsidR="00A50448" w14:paraId="02C92806" w14:textId="77777777">
        <w:tc>
          <w:tcPr>
            <w:tcW w:w="1530" w:type="dxa"/>
          </w:tcPr>
          <w:p w14:paraId="42AC1255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Frontend</w:t>
            </w:r>
          </w:p>
        </w:tc>
        <w:tc>
          <w:tcPr>
            <w:tcW w:w="3118" w:type="dxa"/>
          </w:tcPr>
          <w:p w14:paraId="5E480E6F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React 18 + Vite + TypeScript</w:t>
            </w:r>
          </w:p>
        </w:tc>
        <w:tc>
          <w:tcPr>
            <w:tcW w:w="4706" w:type="dxa"/>
          </w:tcPr>
          <w:p w14:paraId="0D5EA413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SPA served as static assets from Azure Blob + CDN. SSR not needed: the report itself is rendered server-side in the backend as PDF/Excel, not as an HTML page.</w:t>
            </w:r>
          </w:p>
        </w:tc>
      </w:tr>
      <w:tr w:rsidR="00A50448" w14:paraId="4EB70CD3" w14:textId="77777777">
        <w:tc>
          <w:tcPr>
            <w:tcW w:w="1530" w:type="dxa"/>
            <w:shd w:val="clear" w:color="auto" w:fill="F4F6F8"/>
          </w:tcPr>
          <w:p w14:paraId="7A112DB7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Backend</w:t>
            </w:r>
          </w:p>
        </w:tc>
        <w:tc>
          <w:tcPr>
            <w:tcW w:w="3118" w:type="dxa"/>
            <w:shd w:val="clear" w:color="auto" w:fill="F4F6F8"/>
          </w:tcPr>
          <w:p w14:paraId="0013C6E3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Python 3.12 + FastAPI + Pydantic v2</w:t>
            </w:r>
          </w:p>
        </w:tc>
        <w:tc>
          <w:tcPr>
            <w:tcW w:w="4706" w:type="dxa"/>
            <w:shd w:val="clear" w:color="auto" w:fill="F4F6F8"/>
          </w:tcPr>
          <w:p w14:paraId="11C1B12F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Pydantic enforces unit, source, and factor metadata at the type level. FastAPI emits OpenAPI for free (audit-friendly). pandas / pyarrow available for factor imports and golden-case diffs.</w:t>
            </w:r>
          </w:p>
        </w:tc>
      </w:tr>
      <w:tr w:rsidR="00A50448" w14:paraId="47BB43B7" w14:textId="77777777">
        <w:tc>
          <w:tcPr>
            <w:tcW w:w="1530" w:type="dxa"/>
          </w:tcPr>
          <w:p w14:paraId="5F73DD5A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Database</w:t>
            </w:r>
          </w:p>
        </w:tc>
        <w:tc>
          <w:tcPr>
            <w:tcW w:w="3118" w:type="dxa"/>
          </w:tcPr>
          <w:p w14:paraId="7AFFA021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PostgreSQL 16 (Azure Database for PostgreSQL)</w:t>
            </w:r>
          </w:p>
        </w:tc>
        <w:tc>
          <w:tcPr>
            <w:tcW w:w="4706" w:type="dxa"/>
          </w:tcPr>
          <w:p w14:paraId="3BAF1B68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JSONB for source metadata; deterministic SQL for factor lookups; strong constraints. Accessed via SQLAlchemy 2.x + Alembic migrations.</w:t>
            </w:r>
          </w:p>
        </w:tc>
      </w:tr>
      <w:tr w:rsidR="00A50448" w14:paraId="54807C78" w14:textId="77777777">
        <w:tc>
          <w:tcPr>
            <w:tcW w:w="1530" w:type="dxa"/>
            <w:shd w:val="clear" w:color="auto" w:fill="F4F6F8"/>
          </w:tcPr>
          <w:p w14:paraId="7621A2A3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Object storage</w:t>
            </w:r>
          </w:p>
        </w:tc>
        <w:tc>
          <w:tcPr>
            <w:tcW w:w="3118" w:type="dxa"/>
            <w:shd w:val="clear" w:color="auto" w:fill="F4F6F8"/>
          </w:tcPr>
          <w:p w14:paraId="03693B48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Azure Blob Storage</w:t>
            </w:r>
          </w:p>
        </w:tc>
        <w:tc>
          <w:tcPr>
            <w:tcW w:w="4706" w:type="dxa"/>
            <w:shd w:val="clear" w:color="auto" w:fill="F4F6F8"/>
          </w:tcPr>
          <w:p w14:paraId="7713FA91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Generated PDF/Excel reports, factor import files, evidence attachments.</w:t>
            </w:r>
          </w:p>
        </w:tc>
      </w:tr>
      <w:tr w:rsidR="00A50448" w14:paraId="4EFD9B94" w14:textId="77777777">
        <w:tc>
          <w:tcPr>
            <w:tcW w:w="1530" w:type="dxa"/>
          </w:tcPr>
          <w:p w14:paraId="6033E1BB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Identity</w:t>
            </w:r>
          </w:p>
        </w:tc>
        <w:tc>
          <w:tcPr>
            <w:tcW w:w="3118" w:type="dxa"/>
          </w:tcPr>
          <w:p w14:paraId="4167B07B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Microsoft Entra ID (Azure AD)</w:t>
            </w:r>
          </w:p>
        </w:tc>
        <w:tc>
          <w:tcPr>
            <w:tcW w:w="4706" w:type="dxa"/>
          </w:tcPr>
          <w:p w14:paraId="41EA2797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Aligns with KPMG tenanting; SSO, RBAC, conditional access available out of the box.</w:t>
            </w:r>
          </w:p>
        </w:tc>
      </w:tr>
      <w:tr w:rsidR="00A50448" w14:paraId="6B875FF1" w14:textId="77777777">
        <w:tc>
          <w:tcPr>
            <w:tcW w:w="1530" w:type="dxa"/>
            <w:shd w:val="clear" w:color="auto" w:fill="F4F6F8"/>
          </w:tcPr>
          <w:p w14:paraId="724660CB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Queue (optional)</w:t>
            </w:r>
          </w:p>
        </w:tc>
        <w:tc>
          <w:tcPr>
            <w:tcW w:w="3118" w:type="dxa"/>
            <w:shd w:val="clear" w:color="auto" w:fill="F4F6F8"/>
          </w:tcPr>
          <w:p w14:paraId="10FC3865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Azure Service Bus</w:t>
            </w:r>
          </w:p>
        </w:tc>
        <w:tc>
          <w:tcPr>
            <w:tcW w:w="4706" w:type="dxa"/>
            <w:shd w:val="clear" w:color="auto" w:fill="F4F6F8"/>
          </w:tcPr>
          <w:p w14:paraId="370C3CDB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Async report generation; engine itself runs in-request because it is fast.</w:t>
            </w:r>
          </w:p>
        </w:tc>
      </w:tr>
      <w:tr w:rsidR="00A50448" w14:paraId="6E55EA5D" w14:textId="77777777">
        <w:tc>
          <w:tcPr>
            <w:tcW w:w="1530" w:type="dxa"/>
          </w:tcPr>
          <w:p w14:paraId="43789E35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Observability</w:t>
            </w:r>
          </w:p>
        </w:tc>
        <w:tc>
          <w:tcPr>
            <w:tcW w:w="3118" w:type="dxa"/>
          </w:tcPr>
          <w:p w14:paraId="055A2243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Azure Application Insights + OpenTelemetry</w:t>
            </w:r>
          </w:p>
        </w:tc>
        <w:tc>
          <w:tcPr>
            <w:tcW w:w="4706" w:type="dxa"/>
          </w:tcPr>
          <w:p w14:paraId="6DE110FF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Distributed traces show which factor_version every calculation used.</w:t>
            </w:r>
          </w:p>
        </w:tc>
      </w:tr>
    </w:tbl>
    <w:p w14:paraId="710CE8FE" w14:textId="77777777" w:rsidR="00A50448" w:rsidRDefault="00A50448">
      <w:pPr>
        <w:spacing w:after="80"/>
      </w:pPr>
    </w:p>
    <w:p w14:paraId="1753582E" w14:textId="77777777" w:rsidR="00A50448" w:rsidRDefault="00000000">
      <w:pPr>
        <w:pBdr>
          <w:top w:val="single" w:sz="4" w:space="4" w:color="16A085"/>
          <w:left w:val="single" w:sz="4" w:space="4" w:color="16A085"/>
          <w:bottom w:val="single" w:sz="4" w:space="4" w:color="16A085"/>
          <w:right w:val="single" w:sz="4" w:space="4" w:color="16A085"/>
        </w:pBdr>
        <w:shd w:val="clear" w:color="auto" w:fill="E8F8F5"/>
        <w:spacing w:before="80" w:after="120"/>
      </w:pPr>
      <w:r>
        <w:rPr>
          <w:rFonts w:ascii="Calibri" w:hAnsi="Calibri"/>
          <w:b/>
          <w:color w:val="0A2540"/>
          <w:sz w:val="20"/>
        </w:rPr>
        <w:t xml:space="preserve">Decision. </w:t>
      </w:r>
      <w:r>
        <w:rPr>
          <w:rFonts w:ascii="Calibri" w:hAnsi="Calibri"/>
          <w:color w:val="0A2540"/>
          <w:sz w:val="20"/>
        </w:rPr>
        <w:t>FastAPI over NestJS for the backend. The harder problems are factor governance, unit-safe schemas, and golden-case validation against the existing Excel workbook — all of which the Python ecosystem (Pydantic v2, pandas, pyarrow, openpyxl) handles directly. The frontend is plain React + Vite rather than Next.js because the report is rendered server-side as PDF/Excel in the backend, so there is nothing for SSR to do.</w:t>
      </w:r>
    </w:p>
    <w:p w14:paraId="736A9295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7.2 Backend modules (Python packages)</w:t>
      </w:r>
    </w:p>
    <w:p w14:paraId="5A864EF8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app.auth</w:t>
      </w:r>
      <w:r>
        <w:rPr>
          <w:rFonts w:ascii="Calibri" w:hAnsi="Calibri"/>
          <w:color w:val="3C4A5A"/>
          <w:sz w:val="20"/>
        </w:rPr>
        <w:t xml:space="preserve"> — Entra ID OAuth via Authlib/MSAL, JWT validation, dependency-injected user context</w:t>
      </w:r>
    </w:p>
    <w:p w14:paraId="6D906F36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app.organisations</w:t>
      </w:r>
      <w:r>
        <w:rPr>
          <w:rFonts w:ascii="Calibri" w:hAnsi="Calibri"/>
          <w:color w:val="3C4A5A"/>
          <w:sz w:val="20"/>
        </w:rPr>
        <w:t xml:space="preserve"> — tenant CRUD and membership</w:t>
      </w:r>
    </w:p>
    <w:p w14:paraId="590752C4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app.assessments</w:t>
      </w:r>
      <w:r>
        <w:rPr>
          <w:rFonts w:ascii="Calibri" w:hAnsi="Calibri"/>
          <w:color w:val="3C4A5A"/>
          <w:sz w:val="20"/>
        </w:rPr>
        <w:t xml:space="preserve"> — assessment lifecycle (draft → submitted → published)</w:t>
      </w:r>
    </w:p>
    <w:p w14:paraId="08FF15A1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app.inventory</w:t>
      </w:r>
      <w:r>
        <w:rPr>
          <w:rFonts w:ascii="Calibri" w:hAnsi="Calibri"/>
          <w:color w:val="3C4A5A"/>
          <w:sz w:val="20"/>
        </w:rPr>
        <w:t xml:space="preserve"> — asset inventory CRUD, factor match on write</w:t>
      </w:r>
    </w:p>
    <w:p w14:paraId="3CED6E98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app.factors</w:t>
      </w:r>
      <w:r>
        <w:rPr>
          <w:rFonts w:ascii="Calibri" w:hAnsi="Calibri"/>
          <w:color w:val="3C4A5A"/>
          <w:sz w:val="20"/>
        </w:rPr>
        <w:t xml:space="preserve"> — read-only factor catalogue, country grid factors</w:t>
      </w:r>
    </w:p>
    <w:p w14:paraId="7BB8A464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app.calculations</w:t>
      </w:r>
      <w:r>
        <w:rPr>
          <w:rFonts w:ascii="Calibri" w:hAnsi="Calibri"/>
          <w:color w:val="3C4A5A"/>
          <w:sz w:val="20"/>
        </w:rPr>
        <w:t xml:space="preserve"> — the deterministic engine (§4), pure Python, fully unit-tested</w:t>
      </w:r>
    </w:p>
    <w:p w14:paraId="75879519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app.reports</w:t>
      </w:r>
      <w:r>
        <w:rPr>
          <w:rFonts w:ascii="Calibri" w:hAnsi="Calibri"/>
          <w:color w:val="3C4A5A"/>
          <w:sz w:val="20"/>
        </w:rPr>
        <w:t xml:space="preserve"> — PDF (ReportLab) / Excel (openpyxl) rendering, exports to Blob</w:t>
      </w:r>
    </w:p>
    <w:p w14:paraId="6D6FDB30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app.audit</w:t>
      </w:r>
      <w:r>
        <w:rPr>
          <w:rFonts w:ascii="Calibri" w:hAnsi="Calibri"/>
          <w:color w:val="3C4A5A"/>
          <w:sz w:val="20"/>
        </w:rPr>
        <w:t xml:space="preserve"> — append-only event log writer/reader</w:t>
      </w:r>
    </w:p>
    <w:p w14:paraId="7738AB0F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app.admin</w:t>
      </w:r>
      <w:r>
        <w:rPr>
          <w:rFonts w:ascii="Calibri" w:hAnsi="Calibri"/>
          <w:color w:val="3C4A5A"/>
          <w:sz w:val="20"/>
        </w:rPr>
        <w:t xml:space="preserve"> — factor imports (pandas-driven CSV/JSON ingestion), assumption versioning, methodology locking</w:t>
      </w:r>
    </w:p>
    <w:p w14:paraId="54074A92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7.3 API surface</w:t>
      </w:r>
    </w:p>
    <w:tbl>
      <w:tblPr>
        <w:tblW w:w="0" w:type="auto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963"/>
        <w:gridCol w:w="3685"/>
        <w:gridCol w:w="4706"/>
      </w:tblGrid>
      <w:tr w:rsidR="00A50448" w14:paraId="14B89F5A" w14:textId="77777777">
        <w:tc>
          <w:tcPr>
            <w:tcW w:w="963" w:type="dxa"/>
            <w:shd w:val="clear" w:color="auto" w:fill="0A2540"/>
          </w:tcPr>
          <w:p w14:paraId="36C4A113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w="3685" w:type="dxa"/>
            <w:shd w:val="clear" w:color="auto" w:fill="0A2540"/>
          </w:tcPr>
          <w:p w14:paraId="30642E2B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  <w:tc>
          <w:tcPr>
            <w:tcW w:w="4706" w:type="dxa"/>
            <w:shd w:val="clear" w:color="auto" w:fill="0A2540"/>
          </w:tcPr>
          <w:p w14:paraId="0E4C006A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 w:rsidR="00A50448" w14:paraId="69684E8E" w14:textId="77777777">
        <w:tc>
          <w:tcPr>
            <w:tcW w:w="963" w:type="dxa"/>
          </w:tcPr>
          <w:p w14:paraId="09C6060E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POST</w:t>
            </w:r>
          </w:p>
        </w:tc>
        <w:tc>
          <w:tcPr>
            <w:tcW w:w="3685" w:type="dxa"/>
          </w:tcPr>
          <w:p w14:paraId="0CE31012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/assessments</w:t>
            </w:r>
          </w:p>
        </w:tc>
        <w:tc>
          <w:tcPr>
            <w:tcW w:w="4706" w:type="dxa"/>
          </w:tcPr>
          <w:p w14:paraId="7DEC32DD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Create assessment (org, reporting year, country, employees)</w:t>
            </w:r>
          </w:p>
        </w:tc>
      </w:tr>
      <w:tr w:rsidR="00A50448" w14:paraId="42A5ECA3" w14:textId="77777777">
        <w:tc>
          <w:tcPr>
            <w:tcW w:w="963" w:type="dxa"/>
            <w:shd w:val="clear" w:color="auto" w:fill="F4F6F8"/>
          </w:tcPr>
          <w:p w14:paraId="619A8A9B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GET</w:t>
            </w:r>
          </w:p>
        </w:tc>
        <w:tc>
          <w:tcPr>
            <w:tcW w:w="3685" w:type="dxa"/>
            <w:shd w:val="clear" w:color="auto" w:fill="F4F6F8"/>
          </w:tcPr>
          <w:p w14:paraId="00C4412B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/assessments/:id</w:t>
            </w:r>
          </w:p>
        </w:tc>
        <w:tc>
          <w:tcPr>
            <w:tcW w:w="4706" w:type="dxa"/>
            <w:shd w:val="clear" w:color="auto" w:fill="F4F6F8"/>
          </w:tcPr>
          <w:p w14:paraId="0404AE78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Read assessment with pinned factor/assumption versions</w:t>
            </w:r>
          </w:p>
        </w:tc>
      </w:tr>
      <w:tr w:rsidR="00A50448" w14:paraId="3626DBDE" w14:textId="77777777">
        <w:tc>
          <w:tcPr>
            <w:tcW w:w="963" w:type="dxa"/>
          </w:tcPr>
          <w:p w14:paraId="727413A5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POST</w:t>
            </w:r>
          </w:p>
        </w:tc>
        <w:tc>
          <w:tcPr>
            <w:tcW w:w="3685" w:type="dxa"/>
          </w:tcPr>
          <w:p w14:paraId="6A228724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/assessments/:id/inventory</w:t>
            </w:r>
          </w:p>
        </w:tc>
        <w:tc>
          <w:tcPr>
            <w:tcW w:w="4706" w:type="dxa"/>
          </w:tcPr>
          <w:p w14:paraId="49A766FD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Upsert asset inventory rows (server matches factors)</w:t>
            </w:r>
          </w:p>
        </w:tc>
      </w:tr>
      <w:tr w:rsidR="00A50448" w14:paraId="0B3B5F44" w14:textId="77777777">
        <w:tc>
          <w:tcPr>
            <w:tcW w:w="963" w:type="dxa"/>
            <w:shd w:val="clear" w:color="auto" w:fill="F4F6F8"/>
          </w:tcPr>
          <w:p w14:paraId="0BCD92F7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POST</w:t>
            </w:r>
          </w:p>
        </w:tc>
        <w:tc>
          <w:tcPr>
            <w:tcW w:w="3685" w:type="dxa"/>
            <w:shd w:val="clear" w:color="auto" w:fill="F4F6F8"/>
          </w:tcPr>
          <w:p w14:paraId="688BD3DC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/assessments/:id/calculate</w:t>
            </w:r>
          </w:p>
        </w:tc>
        <w:tc>
          <w:tcPr>
            <w:tcW w:w="4706" w:type="dxa"/>
            <w:shd w:val="clear" w:color="auto" w:fill="F4F6F8"/>
          </w:tcPr>
          <w:p w14:paraId="574B9FB9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Run engine, persist calculation_result + audit_log</w:t>
            </w:r>
          </w:p>
        </w:tc>
      </w:tr>
      <w:tr w:rsidR="00A50448" w14:paraId="422BDCE2" w14:textId="77777777">
        <w:tc>
          <w:tcPr>
            <w:tcW w:w="963" w:type="dxa"/>
          </w:tcPr>
          <w:p w14:paraId="7FC26C1F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GET</w:t>
            </w:r>
          </w:p>
        </w:tc>
        <w:tc>
          <w:tcPr>
            <w:tcW w:w="3685" w:type="dxa"/>
          </w:tcPr>
          <w:p w14:paraId="60BAD8D8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/assessments/:id/results</w:t>
            </w:r>
          </w:p>
        </w:tc>
        <w:tc>
          <w:tcPr>
            <w:tcW w:w="4706" w:type="dxa"/>
          </w:tcPr>
          <w:p w14:paraId="7B1DD2C6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Read results (totals, scope split, per-employee, drivers)</w:t>
            </w:r>
          </w:p>
        </w:tc>
      </w:tr>
      <w:tr w:rsidR="00A50448" w14:paraId="285D0B83" w14:textId="77777777">
        <w:tc>
          <w:tcPr>
            <w:tcW w:w="963" w:type="dxa"/>
            <w:shd w:val="clear" w:color="auto" w:fill="F4F6F8"/>
          </w:tcPr>
          <w:p w14:paraId="27C593C2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lastRenderedPageBreak/>
              <w:t>GET</w:t>
            </w:r>
          </w:p>
        </w:tc>
        <w:tc>
          <w:tcPr>
            <w:tcW w:w="3685" w:type="dxa"/>
            <w:shd w:val="clear" w:color="auto" w:fill="F4F6F8"/>
          </w:tcPr>
          <w:p w14:paraId="61C24228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/assessments/:id/export</w:t>
            </w:r>
          </w:p>
        </w:tc>
        <w:tc>
          <w:tcPr>
            <w:tcW w:w="4706" w:type="dxa"/>
            <w:shd w:val="clear" w:color="auto" w:fill="F4F6F8"/>
          </w:tcPr>
          <w:p w14:paraId="7470D9B6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Generate PDF/Excel report and return Blob URL</w:t>
            </w:r>
          </w:p>
        </w:tc>
      </w:tr>
      <w:tr w:rsidR="00A50448" w14:paraId="570417C9" w14:textId="77777777">
        <w:tc>
          <w:tcPr>
            <w:tcW w:w="963" w:type="dxa"/>
          </w:tcPr>
          <w:p w14:paraId="148F65C0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GET</w:t>
            </w:r>
          </w:p>
        </w:tc>
        <w:tc>
          <w:tcPr>
            <w:tcW w:w="3685" w:type="dxa"/>
          </w:tcPr>
          <w:p w14:paraId="5C3F4353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/factors</w:t>
            </w:r>
          </w:p>
        </w:tc>
        <w:tc>
          <w:tcPr>
            <w:tcW w:w="4706" w:type="dxa"/>
          </w:tcPr>
          <w:p w14:paraId="0206B96C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Browse factor catalogue (read-only, supports filter by source/year)</w:t>
            </w:r>
          </w:p>
        </w:tc>
      </w:tr>
      <w:tr w:rsidR="00A50448" w14:paraId="7707B815" w14:textId="77777777">
        <w:tc>
          <w:tcPr>
            <w:tcW w:w="963" w:type="dxa"/>
            <w:shd w:val="clear" w:color="auto" w:fill="F4F6F8"/>
          </w:tcPr>
          <w:p w14:paraId="531152A9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POST</w:t>
            </w:r>
          </w:p>
        </w:tc>
        <w:tc>
          <w:tcPr>
            <w:tcW w:w="3685" w:type="dxa"/>
            <w:shd w:val="clear" w:color="auto" w:fill="F4F6F8"/>
          </w:tcPr>
          <w:p w14:paraId="5A9D09AA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/admin/factors/import</w:t>
            </w:r>
          </w:p>
        </w:tc>
        <w:tc>
          <w:tcPr>
            <w:tcW w:w="4706" w:type="dxa"/>
            <w:shd w:val="clear" w:color="auto" w:fill="F4F6F8"/>
          </w:tcPr>
          <w:p w14:paraId="5588AAA7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Admin-only: ingest new factor set version</w:t>
            </w:r>
          </w:p>
        </w:tc>
      </w:tr>
    </w:tbl>
    <w:p w14:paraId="7E2E01A6" w14:textId="77777777" w:rsidR="00A50448" w:rsidRDefault="00A50448">
      <w:pPr>
        <w:spacing w:after="80"/>
      </w:pPr>
    </w:p>
    <w:p w14:paraId="46023F9B" w14:textId="77777777" w:rsidR="00A50448" w:rsidRDefault="00000000">
      <w:pPr>
        <w:pBdr>
          <w:top w:val="single" w:sz="4" w:space="4" w:color="16A085"/>
          <w:left w:val="single" w:sz="4" w:space="4" w:color="16A085"/>
          <w:bottom w:val="single" w:sz="4" w:space="4" w:color="16A085"/>
          <w:right w:val="single" w:sz="4" w:space="4" w:color="16A085"/>
        </w:pBdr>
        <w:shd w:val="clear" w:color="auto" w:fill="E8F8F5"/>
        <w:spacing w:before="80" w:after="120"/>
      </w:pPr>
      <w:r>
        <w:rPr>
          <w:rFonts w:ascii="Calibri" w:hAnsi="Calibri"/>
          <w:b/>
          <w:color w:val="0A2540"/>
          <w:sz w:val="20"/>
        </w:rPr>
        <w:t xml:space="preserve">API rule. </w:t>
      </w:r>
      <w:r>
        <w:rPr>
          <w:rFonts w:ascii="Calibri" w:hAnsi="Calibri"/>
          <w:color w:val="0A2540"/>
          <w:sz w:val="20"/>
        </w:rPr>
        <w:t>/calculate is idempotent on (assessment_id, factor_set_id, assumption_set_id, inputs_hash). Same inputs ⇒ same outputs. This is also the regression-test surface.</w:t>
      </w:r>
    </w:p>
    <w:p w14:paraId="5F4EF25A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7.4 Admin factor import pipeline</w:t>
      </w:r>
    </w:p>
    <w:p w14:paraId="72B446C0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Upload signed CSV/JSON file to Azure Blob.</w:t>
      </w:r>
    </w:p>
    <w:p w14:paraId="090B2EB6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Pipeline validates: no missing factor names, no duplicate IDs, units valid, ratios add to 1.0, no negative factors unless explicitly allowed.</w:t>
      </w:r>
    </w:p>
    <w:p w14:paraId="0D0BB272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Diff vs. existing factor_set is rendered before commit.</w:t>
      </w:r>
    </w:p>
    <w:p w14:paraId="14C966FB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On commit, a new immutable factor_set_id is published; existing assessments remain pinned to their original factor_set.</w:t>
      </w:r>
    </w:p>
    <w:p w14:paraId="0D805B11" w14:textId="77777777" w:rsidR="00A50448" w:rsidRDefault="00000000">
      <w:r>
        <w:br/>
      </w:r>
      <w:r>
        <w:br w:type="page"/>
      </w:r>
    </w:p>
    <w:p w14:paraId="10325147" w14:textId="77777777" w:rsidR="00A50448" w:rsidRDefault="00000000">
      <w:pPr>
        <w:spacing w:before="240" w:after="160"/>
      </w:pPr>
      <w:r>
        <w:rPr>
          <w:rFonts w:ascii="Calibri" w:hAnsi="Calibri"/>
          <w:b/>
          <w:color w:val="0A2540"/>
          <w:sz w:val="36"/>
        </w:rPr>
        <w:lastRenderedPageBreak/>
        <w:t>8. User Journey &amp; Frontend</w:t>
      </w:r>
    </w:p>
    <w:p w14:paraId="7564C9CF" w14:textId="77777777" w:rsidR="00A50448" w:rsidRDefault="00A50448">
      <w:pPr>
        <w:pBdr>
          <w:bottom w:val="single" w:sz="6" w:space="1" w:color="D7DEE5"/>
        </w:pBdr>
        <w:spacing w:after="120"/>
      </w:pPr>
    </w:p>
    <w:p w14:paraId="369F132B" w14:textId="77777777" w:rsidR="00A50448" w:rsidRDefault="00000000">
      <w:pPr>
        <w:spacing w:after="80" w:line="240" w:lineRule="auto"/>
        <w:jc w:val="both"/>
      </w:pPr>
      <w:r>
        <w:rPr>
          <w:rFonts w:ascii="Calibri" w:hAnsi="Calibri"/>
          <w:color w:val="3C4A5A"/>
          <w:sz w:val="20"/>
        </w:rPr>
        <w:t>The frontend must feel like a planning tool, not a science tool. The user should not need to understand carbon accounting to complete an assessment. Inputs are obvious; results appear fast.</w:t>
      </w:r>
    </w:p>
    <w:p w14:paraId="0FAF33F6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8.1 Recommended user journey (8 steps)</w:t>
      </w:r>
    </w:p>
    <w:tbl>
      <w:tblPr>
        <w:tblW w:w="0" w:type="auto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6520"/>
      </w:tblGrid>
      <w:tr w:rsidR="00A50448" w14:paraId="09FACE6B" w14:textId="77777777">
        <w:tc>
          <w:tcPr>
            <w:tcW w:w="567" w:type="dxa"/>
            <w:shd w:val="clear" w:color="auto" w:fill="0A2540"/>
          </w:tcPr>
          <w:p w14:paraId="4F6927F4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w="2268" w:type="dxa"/>
            <w:shd w:val="clear" w:color="auto" w:fill="0A2540"/>
          </w:tcPr>
          <w:p w14:paraId="102E8F57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w="6520" w:type="dxa"/>
            <w:shd w:val="clear" w:color="auto" w:fill="0A2540"/>
          </w:tcPr>
          <w:p w14:paraId="653DABF5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User action</w:t>
            </w:r>
          </w:p>
        </w:tc>
      </w:tr>
      <w:tr w:rsidR="00A50448" w14:paraId="5A17E476" w14:textId="77777777">
        <w:tc>
          <w:tcPr>
            <w:tcW w:w="567" w:type="dxa"/>
          </w:tcPr>
          <w:p w14:paraId="75CD8E5F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1</w:t>
            </w:r>
          </w:p>
        </w:tc>
        <w:tc>
          <w:tcPr>
            <w:tcW w:w="2268" w:type="dxa"/>
          </w:tcPr>
          <w:p w14:paraId="69DBD8DB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Create assessment</w:t>
            </w:r>
          </w:p>
        </w:tc>
        <w:tc>
          <w:tcPr>
            <w:tcW w:w="6520" w:type="dxa"/>
          </w:tcPr>
          <w:p w14:paraId="321B3DA0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Name the assessment (e.g. "FY2026 IT Carbon Footprint")</w:t>
            </w:r>
          </w:p>
        </w:tc>
      </w:tr>
      <w:tr w:rsidR="00A50448" w14:paraId="1F9E1BC4" w14:textId="77777777">
        <w:tc>
          <w:tcPr>
            <w:tcW w:w="567" w:type="dxa"/>
            <w:shd w:val="clear" w:color="auto" w:fill="F4F6F8"/>
          </w:tcPr>
          <w:p w14:paraId="61A46BB1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2</w:t>
            </w:r>
          </w:p>
        </w:tc>
        <w:tc>
          <w:tcPr>
            <w:tcW w:w="2268" w:type="dxa"/>
            <w:shd w:val="clear" w:color="auto" w:fill="F4F6F8"/>
          </w:tcPr>
          <w:p w14:paraId="7BC4438F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General inputs</w:t>
            </w:r>
          </w:p>
        </w:tc>
        <w:tc>
          <w:tcPr>
            <w:tcW w:w="6520" w:type="dxa"/>
            <w:shd w:val="clear" w:color="auto" w:fill="F4F6F8"/>
          </w:tcPr>
          <w:p w14:paraId="3360B21F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Pick country and reporting year</w:t>
            </w:r>
          </w:p>
        </w:tc>
      </w:tr>
      <w:tr w:rsidR="00A50448" w14:paraId="17679365" w14:textId="77777777">
        <w:tc>
          <w:tcPr>
            <w:tcW w:w="567" w:type="dxa"/>
          </w:tcPr>
          <w:p w14:paraId="0F9BF324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3</w:t>
            </w:r>
          </w:p>
        </w:tc>
        <w:tc>
          <w:tcPr>
            <w:tcW w:w="2268" w:type="dxa"/>
          </w:tcPr>
          <w:p w14:paraId="6CCB63BF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General inputs</w:t>
            </w:r>
          </w:p>
        </w:tc>
        <w:tc>
          <w:tcPr>
            <w:tcW w:w="6520" w:type="dxa"/>
          </w:tcPr>
          <w:p w14:paraId="51BE9504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Enter number of employees (used for per-employee metric)</w:t>
            </w:r>
          </w:p>
        </w:tc>
      </w:tr>
      <w:tr w:rsidR="00A50448" w14:paraId="4FE7545F" w14:textId="77777777">
        <w:tc>
          <w:tcPr>
            <w:tcW w:w="567" w:type="dxa"/>
            <w:shd w:val="clear" w:color="auto" w:fill="F4F6F8"/>
          </w:tcPr>
          <w:p w14:paraId="7B8E5477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4</w:t>
            </w:r>
          </w:p>
        </w:tc>
        <w:tc>
          <w:tcPr>
            <w:tcW w:w="2268" w:type="dxa"/>
            <w:shd w:val="clear" w:color="auto" w:fill="F4F6F8"/>
          </w:tcPr>
          <w:p w14:paraId="1E4B6413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Asset inventory</w:t>
            </w:r>
          </w:p>
        </w:tc>
        <w:tc>
          <w:tcPr>
            <w:tcW w:w="6520" w:type="dxa"/>
            <w:shd w:val="clear" w:color="auto" w:fill="F4F6F8"/>
          </w:tcPr>
          <w:p w14:paraId="4D4AF6B5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Add IT assets: laptops, desktops, monitors, phones, tablets, printers, servers</w:t>
            </w:r>
          </w:p>
        </w:tc>
      </w:tr>
      <w:tr w:rsidR="00A50448" w14:paraId="52728CAA" w14:textId="77777777">
        <w:tc>
          <w:tcPr>
            <w:tcW w:w="567" w:type="dxa"/>
          </w:tcPr>
          <w:p w14:paraId="789C9973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5</w:t>
            </w:r>
          </w:p>
        </w:tc>
        <w:tc>
          <w:tcPr>
            <w:tcW w:w="2268" w:type="dxa"/>
          </w:tcPr>
          <w:p w14:paraId="2AB7C1EC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Electricity / data centre</w:t>
            </w:r>
          </w:p>
        </w:tc>
        <w:tc>
          <w:tcPr>
            <w:tcW w:w="6520" w:type="dxa"/>
          </w:tcPr>
          <w:p w14:paraId="669738FF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Enter annual kWh consumed by data centre / IT load</w:t>
            </w:r>
          </w:p>
        </w:tc>
      </w:tr>
      <w:tr w:rsidR="00A50448" w14:paraId="357B079A" w14:textId="77777777">
        <w:tc>
          <w:tcPr>
            <w:tcW w:w="567" w:type="dxa"/>
            <w:shd w:val="clear" w:color="auto" w:fill="F4F6F8"/>
          </w:tcPr>
          <w:p w14:paraId="0F8B4388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6</w:t>
            </w:r>
          </w:p>
        </w:tc>
        <w:tc>
          <w:tcPr>
            <w:tcW w:w="2268" w:type="dxa"/>
            <w:shd w:val="clear" w:color="auto" w:fill="F4F6F8"/>
          </w:tcPr>
          <w:p w14:paraId="6CAA6FDA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Cloud emissions</w:t>
            </w:r>
          </w:p>
        </w:tc>
        <w:tc>
          <w:tcPr>
            <w:tcW w:w="6520" w:type="dxa"/>
            <w:shd w:val="clear" w:color="auto" w:fill="F4F6F8"/>
          </w:tcPr>
          <w:p w14:paraId="6191E7EB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Paste provider-reported kgCO₂e (AWS, Azure, GCP)</w:t>
            </w:r>
          </w:p>
        </w:tc>
      </w:tr>
      <w:tr w:rsidR="00A50448" w14:paraId="6675D0DE" w14:textId="77777777">
        <w:tc>
          <w:tcPr>
            <w:tcW w:w="567" w:type="dxa"/>
          </w:tcPr>
          <w:p w14:paraId="4BDF61A2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7</w:t>
            </w:r>
          </w:p>
        </w:tc>
        <w:tc>
          <w:tcPr>
            <w:tcW w:w="2268" w:type="dxa"/>
          </w:tcPr>
          <w:p w14:paraId="53B150A7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Results dashboard</w:t>
            </w:r>
          </w:p>
        </w:tc>
        <w:tc>
          <w:tcPr>
            <w:tcW w:w="6520" w:type="dxa"/>
          </w:tcPr>
          <w:p w14:paraId="546FF779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Review total footprint, scope split, top emission drivers, per-employee</w:t>
            </w:r>
          </w:p>
        </w:tc>
      </w:tr>
      <w:tr w:rsidR="00A50448" w14:paraId="051F63A9" w14:textId="77777777">
        <w:tc>
          <w:tcPr>
            <w:tcW w:w="567" w:type="dxa"/>
            <w:shd w:val="clear" w:color="auto" w:fill="F4F6F8"/>
          </w:tcPr>
          <w:p w14:paraId="50DAD4C6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8</w:t>
            </w:r>
          </w:p>
        </w:tc>
        <w:tc>
          <w:tcPr>
            <w:tcW w:w="2268" w:type="dxa"/>
            <w:shd w:val="clear" w:color="auto" w:fill="F4F6F8"/>
          </w:tcPr>
          <w:p w14:paraId="7621A0FE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Export report</w:t>
            </w:r>
          </w:p>
        </w:tc>
        <w:tc>
          <w:tcPr>
            <w:tcW w:w="6520" w:type="dxa"/>
            <w:shd w:val="clear" w:color="auto" w:fill="F4F6F8"/>
          </w:tcPr>
          <w:p w14:paraId="032A3427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Generate PDF / Excel report with full traceability appendix</w:t>
            </w:r>
          </w:p>
        </w:tc>
      </w:tr>
    </w:tbl>
    <w:p w14:paraId="203EF34F" w14:textId="77777777" w:rsidR="00A50448" w:rsidRDefault="00A50448">
      <w:pPr>
        <w:spacing w:after="80"/>
      </w:pPr>
    </w:p>
    <w:p w14:paraId="2A08EEEA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8.2 Main screens</w:t>
      </w:r>
    </w:p>
    <w:p w14:paraId="33C24DB4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Landing / product intro</w:t>
      </w:r>
    </w:p>
    <w:p w14:paraId="402BC78C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Assessment list</w:t>
      </w:r>
      <w:r>
        <w:rPr>
          <w:rFonts w:ascii="Calibri" w:hAnsi="Calibri"/>
          <w:color w:val="3C4A5A"/>
          <w:sz w:val="20"/>
        </w:rPr>
        <w:t xml:space="preserve"> — all assessments for this org, with status</w:t>
      </w:r>
    </w:p>
    <w:p w14:paraId="6A931D30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Create assessment</w:t>
      </w:r>
      <w:r>
        <w:rPr>
          <w:rFonts w:ascii="Calibri" w:hAnsi="Calibri"/>
          <w:color w:val="3C4A5A"/>
          <w:sz w:val="20"/>
        </w:rPr>
        <w:t xml:space="preserve"> — name, year, country, employee count</w:t>
      </w:r>
    </w:p>
    <w:p w14:paraId="28D39BFF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Asset inventory</w:t>
      </w:r>
      <w:r>
        <w:rPr>
          <w:rFonts w:ascii="Calibri" w:hAnsi="Calibri"/>
          <w:color w:val="3C4A5A"/>
          <w:sz w:val="20"/>
        </w:rPr>
        <w:t xml:space="preserve"> — editable grid with live row-level footprint and match-confidence badge</w:t>
      </w:r>
    </w:p>
    <w:p w14:paraId="59144C25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Electricity &amp; data centre</w:t>
      </w:r>
      <w:r>
        <w:rPr>
          <w:rFonts w:ascii="Calibri" w:hAnsi="Calibri"/>
          <w:color w:val="3C4A5A"/>
          <w:sz w:val="20"/>
        </w:rPr>
        <w:t xml:space="preserve"> — single annual kWh input, country factor auto-applied</w:t>
      </w:r>
    </w:p>
    <w:p w14:paraId="7AB9FE5B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Cloud emissions</w:t>
      </w:r>
      <w:r>
        <w:rPr>
          <w:rFonts w:ascii="Calibri" w:hAnsi="Calibri"/>
          <w:color w:val="3C4A5A"/>
          <w:sz w:val="20"/>
        </w:rPr>
        <w:t xml:space="preserve"> — provider-reported kgCO₂e per provider</w:t>
      </w:r>
    </w:p>
    <w:p w14:paraId="4C5FDDDF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Results dashboard</w:t>
      </w:r>
      <w:r>
        <w:rPr>
          <w:rFonts w:ascii="Calibri" w:hAnsi="Calibri"/>
          <w:color w:val="3C4A5A"/>
          <w:sz w:val="20"/>
        </w:rPr>
        <w:t xml:space="preserve"> — total, scope split, category breakdown, footprint per employee, top drivers</w:t>
      </w:r>
    </w:p>
    <w:p w14:paraId="14CF94BF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Assumptions &amp; sources</w:t>
      </w:r>
      <w:r>
        <w:rPr>
          <w:rFonts w:ascii="Calibri" w:hAnsi="Calibri"/>
          <w:color w:val="3C4A5A"/>
          <w:sz w:val="20"/>
        </w:rPr>
        <w:t xml:space="preserve"> — visible, versioned, with citations</w:t>
      </w:r>
    </w:p>
    <w:p w14:paraId="7A8A29F7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Export report</w:t>
      </w:r>
      <w:r>
        <w:rPr>
          <w:rFonts w:ascii="Calibri" w:hAnsi="Calibri"/>
          <w:color w:val="3C4A5A"/>
          <w:sz w:val="20"/>
        </w:rPr>
        <w:t xml:space="preserve"> — generate PDF/Excel</w:t>
      </w:r>
    </w:p>
    <w:p w14:paraId="2178ECFB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8.3 Asset inventory grid (example row)</w:t>
      </w:r>
    </w:p>
    <w:tbl>
      <w:tblPr>
        <w:tblW w:w="0" w:type="auto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154"/>
        <w:gridCol w:w="1020"/>
        <w:gridCol w:w="1020"/>
        <w:gridCol w:w="1020"/>
        <w:gridCol w:w="1360"/>
        <w:gridCol w:w="1530"/>
      </w:tblGrid>
      <w:tr w:rsidR="00A50448" w14:paraId="5C85F7E8" w14:textId="77777777">
        <w:tc>
          <w:tcPr>
            <w:tcW w:w="1247" w:type="dxa"/>
            <w:shd w:val="clear" w:color="auto" w:fill="0A2540"/>
          </w:tcPr>
          <w:p w14:paraId="37282397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w="2154" w:type="dxa"/>
            <w:shd w:val="clear" w:color="auto" w:fill="0A2540"/>
          </w:tcPr>
          <w:p w14:paraId="19EA197F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w="1020" w:type="dxa"/>
            <w:shd w:val="clear" w:color="auto" w:fill="0A2540"/>
          </w:tcPr>
          <w:p w14:paraId="44E0D51C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Quantity</w:t>
            </w:r>
          </w:p>
        </w:tc>
        <w:tc>
          <w:tcPr>
            <w:tcW w:w="1020" w:type="dxa"/>
            <w:shd w:val="clear" w:color="auto" w:fill="0A2540"/>
          </w:tcPr>
          <w:p w14:paraId="005C60F4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Lifespan</w:t>
            </w:r>
          </w:p>
        </w:tc>
        <w:tc>
          <w:tcPr>
            <w:tcW w:w="1020" w:type="dxa"/>
            <w:shd w:val="clear" w:color="auto" w:fill="0A2540"/>
          </w:tcPr>
          <w:p w14:paraId="73001295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Recon. rate</w:t>
            </w:r>
          </w:p>
        </w:tc>
        <w:tc>
          <w:tcPr>
            <w:tcW w:w="1360" w:type="dxa"/>
            <w:shd w:val="clear" w:color="auto" w:fill="0A2540"/>
          </w:tcPr>
          <w:p w14:paraId="64D5C2D5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Factor source</w:t>
            </w:r>
          </w:p>
        </w:tc>
        <w:tc>
          <w:tcPr>
            <w:tcW w:w="1530" w:type="dxa"/>
            <w:shd w:val="clear" w:color="auto" w:fill="0A2540"/>
          </w:tcPr>
          <w:p w14:paraId="77A05266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Match</w:t>
            </w:r>
          </w:p>
        </w:tc>
      </w:tr>
      <w:tr w:rsidR="00A50448" w14:paraId="483A4692" w14:textId="77777777">
        <w:tc>
          <w:tcPr>
            <w:tcW w:w="1247" w:type="dxa"/>
          </w:tcPr>
          <w:p w14:paraId="1A846C01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Laptop</w:t>
            </w:r>
          </w:p>
        </w:tc>
        <w:tc>
          <w:tcPr>
            <w:tcW w:w="2154" w:type="dxa"/>
          </w:tcPr>
          <w:p w14:paraId="65302B57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Dell Latitude 5420</w:t>
            </w:r>
          </w:p>
        </w:tc>
        <w:tc>
          <w:tcPr>
            <w:tcW w:w="1020" w:type="dxa"/>
          </w:tcPr>
          <w:p w14:paraId="03FBA5AA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150</w:t>
            </w:r>
          </w:p>
        </w:tc>
        <w:tc>
          <w:tcPr>
            <w:tcW w:w="1020" w:type="dxa"/>
          </w:tcPr>
          <w:p w14:paraId="680F244D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4 years</w:t>
            </w:r>
          </w:p>
        </w:tc>
        <w:tc>
          <w:tcPr>
            <w:tcW w:w="1020" w:type="dxa"/>
          </w:tcPr>
          <w:p w14:paraId="27F08AFF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10%</w:t>
            </w:r>
          </w:p>
        </w:tc>
        <w:tc>
          <w:tcPr>
            <w:tcW w:w="1360" w:type="dxa"/>
          </w:tcPr>
          <w:p w14:paraId="52111720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Boavizta</w:t>
            </w:r>
          </w:p>
        </w:tc>
        <w:tc>
          <w:tcPr>
            <w:tcW w:w="1530" w:type="dxa"/>
          </w:tcPr>
          <w:p w14:paraId="74B11331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Exact</w:t>
            </w:r>
          </w:p>
        </w:tc>
      </w:tr>
      <w:tr w:rsidR="00A50448" w14:paraId="33A18273" w14:textId="77777777">
        <w:tc>
          <w:tcPr>
            <w:tcW w:w="1247" w:type="dxa"/>
            <w:shd w:val="clear" w:color="auto" w:fill="F4F6F8"/>
          </w:tcPr>
          <w:p w14:paraId="7EB22DF8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Phone</w:t>
            </w:r>
          </w:p>
        </w:tc>
        <w:tc>
          <w:tcPr>
            <w:tcW w:w="2154" w:type="dxa"/>
            <w:shd w:val="clear" w:color="auto" w:fill="F4F6F8"/>
          </w:tcPr>
          <w:p w14:paraId="149A889E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iPhone 14</w:t>
            </w:r>
          </w:p>
        </w:tc>
        <w:tc>
          <w:tcPr>
            <w:tcW w:w="1020" w:type="dxa"/>
            <w:shd w:val="clear" w:color="auto" w:fill="F4F6F8"/>
          </w:tcPr>
          <w:p w14:paraId="0777E341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1,000</w:t>
            </w:r>
          </w:p>
        </w:tc>
        <w:tc>
          <w:tcPr>
            <w:tcW w:w="1020" w:type="dxa"/>
            <w:shd w:val="clear" w:color="auto" w:fill="F4F6F8"/>
          </w:tcPr>
          <w:p w14:paraId="1D55DD87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3 years</w:t>
            </w:r>
          </w:p>
        </w:tc>
        <w:tc>
          <w:tcPr>
            <w:tcW w:w="1020" w:type="dxa"/>
            <w:shd w:val="clear" w:color="auto" w:fill="F4F6F8"/>
          </w:tcPr>
          <w:p w14:paraId="02203E44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0%</w:t>
            </w:r>
          </w:p>
        </w:tc>
        <w:tc>
          <w:tcPr>
            <w:tcW w:w="1360" w:type="dxa"/>
            <w:shd w:val="clear" w:color="auto" w:fill="F4F6F8"/>
          </w:tcPr>
          <w:p w14:paraId="2A016F5A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Boavizta</w:t>
            </w:r>
          </w:p>
        </w:tc>
        <w:tc>
          <w:tcPr>
            <w:tcW w:w="1530" w:type="dxa"/>
            <w:shd w:val="clear" w:color="auto" w:fill="F4F6F8"/>
          </w:tcPr>
          <w:p w14:paraId="14198F77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High</w:t>
            </w:r>
          </w:p>
        </w:tc>
      </w:tr>
      <w:tr w:rsidR="00A50448" w14:paraId="24901310" w14:textId="77777777">
        <w:tc>
          <w:tcPr>
            <w:tcW w:w="1247" w:type="dxa"/>
          </w:tcPr>
          <w:p w14:paraId="561654C9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Server</w:t>
            </w:r>
          </w:p>
        </w:tc>
        <w:tc>
          <w:tcPr>
            <w:tcW w:w="2154" w:type="dxa"/>
          </w:tcPr>
          <w:p w14:paraId="31BF8926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Generic rack server</w:t>
            </w:r>
          </w:p>
        </w:tc>
        <w:tc>
          <w:tcPr>
            <w:tcW w:w="1020" w:type="dxa"/>
          </w:tcPr>
          <w:p w14:paraId="1BFD4063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50</w:t>
            </w:r>
          </w:p>
        </w:tc>
        <w:tc>
          <w:tcPr>
            <w:tcW w:w="1020" w:type="dxa"/>
          </w:tcPr>
          <w:p w14:paraId="5D9BD7AD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6 years</w:t>
            </w:r>
          </w:p>
        </w:tc>
        <w:tc>
          <w:tcPr>
            <w:tcW w:w="1020" w:type="dxa"/>
          </w:tcPr>
          <w:p w14:paraId="3EADED27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0%</w:t>
            </w:r>
          </w:p>
        </w:tc>
        <w:tc>
          <w:tcPr>
            <w:tcW w:w="1360" w:type="dxa"/>
          </w:tcPr>
          <w:p w14:paraId="316FBAD3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ADEME (category)</w:t>
            </w:r>
          </w:p>
        </w:tc>
        <w:tc>
          <w:tcPr>
            <w:tcW w:w="1530" w:type="dxa"/>
          </w:tcPr>
          <w:p w14:paraId="265EF956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Estimated</w:t>
            </w:r>
          </w:p>
        </w:tc>
      </w:tr>
    </w:tbl>
    <w:p w14:paraId="463816D7" w14:textId="77777777" w:rsidR="00A50448" w:rsidRDefault="00A50448">
      <w:pPr>
        <w:spacing w:after="80"/>
      </w:pPr>
    </w:p>
    <w:p w14:paraId="70D121A0" w14:textId="77777777" w:rsidR="00A50448" w:rsidRDefault="00000000">
      <w:pPr>
        <w:pBdr>
          <w:top w:val="single" w:sz="4" w:space="4" w:color="F4D35E"/>
          <w:left w:val="single" w:sz="4" w:space="4" w:color="F4D35E"/>
          <w:bottom w:val="single" w:sz="4" w:space="4" w:color="F4D35E"/>
          <w:right w:val="single" w:sz="4" w:space="4" w:color="F4D35E"/>
        </w:pBdr>
        <w:shd w:val="clear" w:color="auto" w:fill="FFF8E1"/>
        <w:spacing w:before="80" w:after="120"/>
      </w:pPr>
      <w:r>
        <w:rPr>
          <w:rFonts w:ascii="Calibri" w:hAnsi="Calibri"/>
          <w:b/>
          <w:color w:val="0A2540"/>
          <w:sz w:val="20"/>
        </w:rPr>
        <w:t xml:space="preserve">UX rule. </w:t>
      </w:r>
      <w:r>
        <w:rPr>
          <w:rFonts w:ascii="Calibri" w:hAnsi="Calibri"/>
          <w:color w:val="0A2540"/>
          <w:sz w:val="20"/>
        </w:rPr>
        <w:t>Show the row-level calculated footprint instantly. Clicking a row opens a calculation details drawer that shows the exact factor, formula, and assumption versions used.</w:t>
      </w:r>
    </w:p>
    <w:p w14:paraId="2203EA11" w14:textId="77777777" w:rsidR="00A50448" w:rsidRDefault="00000000">
      <w:r>
        <w:br/>
      </w:r>
      <w:r>
        <w:br w:type="page"/>
      </w:r>
    </w:p>
    <w:p w14:paraId="0B375A3B" w14:textId="77777777" w:rsidR="00A50448" w:rsidRDefault="00000000">
      <w:pPr>
        <w:spacing w:before="240" w:after="160"/>
      </w:pPr>
      <w:r>
        <w:rPr>
          <w:rFonts w:ascii="Calibri" w:hAnsi="Calibri"/>
          <w:b/>
          <w:color w:val="0A2540"/>
          <w:sz w:val="36"/>
        </w:rPr>
        <w:lastRenderedPageBreak/>
        <w:t>9. Reporting, Audit Trail &amp; Traceability</w:t>
      </w:r>
    </w:p>
    <w:p w14:paraId="658D4AEB" w14:textId="77777777" w:rsidR="00A50448" w:rsidRDefault="00A50448">
      <w:pPr>
        <w:pBdr>
          <w:bottom w:val="single" w:sz="6" w:space="1" w:color="D7DEE5"/>
        </w:pBdr>
        <w:spacing w:after="120"/>
      </w:pPr>
    </w:p>
    <w:p w14:paraId="78801021" w14:textId="77777777" w:rsidR="00A50448" w:rsidRDefault="00000000">
      <w:pPr>
        <w:spacing w:after="80" w:line="240" w:lineRule="auto"/>
        <w:jc w:val="both"/>
      </w:pPr>
      <w:r>
        <w:rPr>
          <w:rFonts w:ascii="Calibri" w:hAnsi="Calibri"/>
          <w:color w:val="3C4A5A"/>
          <w:sz w:val="20"/>
        </w:rPr>
        <w:t xml:space="preserve">A calculator should not just show numbers. It should </w:t>
      </w:r>
      <w:r>
        <w:rPr>
          <w:rFonts w:ascii="Calibri" w:hAnsi="Calibri"/>
          <w:b/>
          <w:color w:val="3C4A5A"/>
          <w:sz w:val="20"/>
        </w:rPr>
        <w:t>explain</w:t>
      </w:r>
      <w:r>
        <w:rPr>
          <w:rFonts w:ascii="Calibri" w:hAnsi="Calibri"/>
          <w:color w:val="3C4A5A"/>
          <w:sz w:val="20"/>
        </w:rPr>
        <w:t xml:space="preserve"> them. Every result row must answer the five north-star questions.</w:t>
      </w:r>
    </w:p>
    <w:p w14:paraId="63F7BE5E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9.1 The five questions every number must answer</w:t>
      </w:r>
    </w:p>
    <w:p w14:paraId="324F0A12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What activity was measured?</w:t>
      </w:r>
    </w:p>
    <w:p w14:paraId="1D4219ED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What factor was used?</w:t>
      </w:r>
    </w:p>
    <w:p w14:paraId="0BE95438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What formula was used?</w:t>
      </w:r>
    </w:p>
    <w:p w14:paraId="1150A7E3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What source did the factor come from?</w:t>
      </w:r>
    </w:p>
    <w:p w14:paraId="5E456423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What assumptions were applied?</w:t>
      </w:r>
    </w:p>
    <w:p w14:paraId="271F8728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When was it calculated, and who changed the input?</w:t>
      </w:r>
    </w:p>
    <w:p w14:paraId="7F90C758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9.2 Example audit output (single result row)</w:t>
      </w:r>
    </w:p>
    <w:p w14:paraId="703C758C" w14:textId="77777777" w:rsidR="00A50448" w:rsidRDefault="00000000">
      <w:pPr>
        <w:shd w:val="clear" w:color="auto" w:fill="1E1E1E"/>
        <w:spacing w:before="80" w:after="120"/>
        <w:ind w:left="113"/>
      </w:pPr>
      <w:r>
        <w:rPr>
          <w:rFonts w:ascii="Consolas" w:hAnsi="Consolas"/>
          <w:color w:val="FFFFFF"/>
          <w:sz w:val="18"/>
        </w:rPr>
        <w:t>Laptop emissions calculated using:</w:t>
      </w:r>
      <w:r>
        <w:rPr>
          <w:rFonts w:ascii="Consolas" w:hAnsi="Consolas"/>
          <w:color w:val="FFFFFF"/>
          <w:sz w:val="18"/>
        </w:rPr>
        <w:br/>
        <w:t xml:space="preserve">  Model            : Dell Latitude 5420</w:t>
      </w:r>
      <w:r>
        <w:rPr>
          <w:rFonts w:ascii="Consolas" w:hAnsi="Consolas"/>
          <w:color w:val="FFFFFF"/>
          <w:sz w:val="18"/>
        </w:rPr>
        <w:br/>
        <w:t xml:space="preserve">  Quantity         : 150</w:t>
      </w:r>
      <w:r>
        <w:rPr>
          <w:rFonts w:ascii="Consolas" w:hAnsi="Consolas"/>
          <w:color w:val="FFFFFF"/>
          <w:sz w:val="18"/>
        </w:rPr>
        <w:br/>
        <w:t xml:space="preserve">  Factor source    : Boavizta 2024-Q4</w:t>
      </w:r>
      <w:r>
        <w:rPr>
          <w:rFonts w:ascii="Consolas" w:hAnsi="Consolas"/>
          <w:color w:val="FFFFFF"/>
          <w:sz w:val="18"/>
        </w:rPr>
        <w:br/>
        <w:t xml:space="preserve">  gwp_total        : 364 kgCO2e/device</w:t>
      </w:r>
      <w:r>
        <w:rPr>
          <w:rFonts w:ascii="Consolas" w:hAnsi="Consolas"/>
          <w:color w:val="FFFFFF"/>
          <w:sz w:val="18"/>
        </w:rPr>
        <w:br/>
        <w:t xml:space="preserve">  Use ratio        : 12.2%</w:t>
      </w:r>
      <w:r>
        <w:rPr>
          <w:rFonts w:ascii="Consolas" w:hAnsi="Consolas"/>
          <w:color w:val="FFFFFF"/>
          <w:sz w:val="18"/>
        </w:rPr>
        <w:br/>
        <w:t xml:space="preserve">  Manufacturing    : 84.8%</w:t>
      </w:r>
      <w:r>
        <w:rPr>
          <w:rFonts w:ascii="Consolas" w:hAnsi="Consolas"/>
          <w:color w:val="FFFFFF"/>
          <w:sz w:val="18"/>
        </w:rPr>
        <w:br/>
        <w:t xml:space="preserve">  Lifespan         : 4 years</w:t>
      </w:r>
      <w:r>
        <w:rPr>
          <w:rFonts w:ascii="Consolas" w:hAnsi="Consolas"/>
          <w:color w:val="FFFFFF"/>
          <w:sz w:val="18"/>
        </w:rPr>
        <w:br/>
        <w:t xml:space="preserve">  Country factor   : UK electricity (UK Gov 2025) 0.209 kgCO2e/kWh</w:t>
      </w:r>
      <w:r>
        <w:rPr>
          <w:rFonts w:ascii="Consolas" w:hAnsi="Consolas"/>
          <w:color w:val="FFFFFF"/>
          <w:sz w:val="18"/>
        </w:rPr>
        <w:br/>
        <w:t xml:space="preserve">  Formula version  : device_v1</w:t>
      </w:r>
      <w:r>
        <w:rPr>
          <w:rFonts w:ascii="Consolas" w:hAnsi="Consolas"/>
          <w:color w:val="FFFFFF"/>
          <w:sz w:val="18"/>
        </w:rPr>
        <w:br/>
        <w:t xml:space="preserve">  Assumption set   : assumption_set_2026_v1.0 (reconditioning_benefit = 0.30)</w:t>
      </w:r>
      <w:r>
        <w:rPr>
          <w:rFonts w:ascii="Consolas" w:hAnsi="Consolas"/>
          <w:color w:val="FFFFFF"/>
          <w:sz w:val="18"/>
        </w:rPr>
        <w:br/>
        <w:t xml:space="preserve">  Calculated at    : 2026-05-20T10:14:23Z by user=temi.makinde@...</w:t>
      </w:r>
    </w:p>
    <w:p w14:paraId="5A76825B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9.3 Report sections</w:t>
      </w:r>
    </w:p>
    <w:p w14:paraId="0F73B8B3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Executive summary — total footprint, year-on-year delta, key drivers</w:t>
      </w:r>
    </w:p>
    <w:p w14:paraId="6581641F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Total footprint — kgCO₂e and tCO₂e, scope split</w:t>
      </w:r>
    </w:p>
    <w:p w14:paraId="2FEAE2D6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Scope breakdown — Scope 2 (use) vs Scope 3 (manufacturing + cloud)</w:t>
      </w:r>
    </w:p>
    <w:p w14:paraId="610D02F5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Category breakdown — laptops, desktops, monitors, phones, servers, data centre, cloud</w:t>
      </w:r>
    </w:p>
    <w:p w14:paraId="4B375B54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Top emission drivers — ranked by contribution</w:t>
      </w:r>
    </w:p>
    <w:p w14:paraId="25B775B1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Per-employee intensity — total ÷ employee_count</w:t>
      </w:r>
    </w:p>
    <w:p w14:paraId="0A2AC86B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Methodology — formula family, lifecycle boundary, scoping decisions</w:t>
      </w:r>
    </w:p>
    <w:p w14:paraId="26575E6E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Assumptions — full assumption set with versions and approvers</w:t>
      </w:r>
    </w:p>
    <w:p w14:paraId="00CE663A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Source data — every factor used, with source/version/geography/year</w:t>
      </w:r>
    </w:p>
    <w:p w14:paraId="09345E65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Limitations &amp; confidence — explicit list of estimated rows</w:t>
      </w:r>
    </w:p>
    <w:p w14:paraId="3915F952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Appendix — full row-level audit trail</w:t>
      </w:r>
    </w:p>
    <w:p w14:paraId="1B0A9FB6" w14:textId="77777777" w:rsidR="00A50448" w:rsidRDefault="00000000">
      <w:r>
        <w:br/>
      </w:r>
      <w:r>
        <w:br w:type="page"/>
      </w:r>
    </w:p>
    <w:p w14:paraId="019DCDE8" w14:textId="77777777" w:rsidR="00A50448" w:rsidRDefault="00000000">
      <w:pPr>
        <w:spacing w:before="240" w:after="160"/>
      </w:pPr>
      <w:r>
        <w:rPr>
          <w:rFonts w:ascii="Calibri" w:hAnsi="Calibri"/>
          <w:b/>
          <w:color w:val="0A2540"/>
          <w:sz w:val="36"/>
        </w:rPr>
        <w:lastRenderedPageBreak/>
        <w:t>10. Testing Strategy</w:t>
      </w:r>
    </w:p>
    <w:p w14:paraId="1DF0E705" w14:textId="77777777" w:rsidR="00A50448" w:rsidRDefault="00A50448">
      <w:pPr>
        <w:pBdr>
          <w:bottom w:val="single" w:sz="6" w:space="1" w:color="D7DEE5"/>
        </w:pBdr>
        <w:spacing w:after="120"/>
      </w:pPr>
    </w:p>
    <w:p w14:paraId="3DDB64F6" w14:textId="77777777" w:rsidR="00A50448" w:rsidRDefault="00000000">
      <w:pPr>
        <w:spacing w:after="80" w:line="240" w:lineRule="auto"/>
        <w:jc w:val="both"/>
      </w:pPr>
      <w:r>
        <w:rPr>
          <w:rFonts w:ascii="Calibri" w:hAnsi="Calibri"/>
          <w:color w:val="3C4A5A"/>
          <w:sz w:val="20"/>
        </w:rPr>
        <w:t>Test the calculation engine like a finance system. A small formula mistake — wrong unit, wrong ratio, off-by-one division — produces misleading outputs that look plausible. Four layers of tests are required.</w:t>
      </w:r>
    </w:p>
    <w:p w14:paraId="24BD14E9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10.1 Unit tests (engine) — pytest</w:t>
      </w:r>
    </w:p>
    <w:p w14:paraId="04D80138" w14:textId="77777777" w:rsidR="00A50448" w:rsidRDefault="00000000">
      <w:pPr>
        <w:shd w:val="clear" w:color="auto" w:fill="1E1E1E"/>
        <w:spacing w:before="80" w:after="120"/>
        <w:ind w:left="113"/>
      </w:pPr>
      <w:r>
        <w:rPr>
          <w:rFonts w:ascii="Consolas" w:hAnsi="Consolas"/>
          <w:color w:val="FFFFFF"/>
          <w:sz w:val="18"/>
        </w:rPr>
        <w:t>def test_calculates_electricity_footprint():</w:t>
      </w:r>
      <w:r>
        <w:rPr>
          <w:rFonts w:ascii="Consolas" w:hAnsi="Consolas"/>
          <w:color w:val="FFFFFF"/>
          <w:sz w:val="18"/>
        </w:rPr>
        <w:br/>
        <w:t xml:space="preserve">    kwh = 1000</w:t>
      </w:r>
      <w:r>
        <w:rPr>
          <w:rFonts w:ascii="Consolas" w:hAnsi="Consolas"/>
          <w:color w:val="FFFFFF"/>
          <w:sz w:val="18"/>
        </w:rPr>
        <w:br/>
        <w:t xml:space="preserve">    factor = 0.209</w:t>
      </w:r>
      <w:r>
        <w:rPr>
          <w:rFonts w:ascii="Consolas" w:hAnsi="Consolas"/>
          <w:color w:val="FFFFFF"/>
          <w:sz w:val="18"/>
        </w:rPr>
        <w:br/>
        <w:t xml:space="preserve">    assert calculate_electricity(kwh, factor) == pytest.approx(209.0)</w:t>
      </w:r>
    </w:p>
    <w:p w14:paraId="6DB37B43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10.2 Golden test cases</w:t>
      </w:r>
    </w:p>
    <w:p w14:paraId="198CA2D7" w14:textId="77777777" w:rsidR="00A50448" w:rsidRDefault="00000000">
      <w:pPr>
        <w:spacing w:after="80" w:line="240" w:lineRule="auto"/>
        <w:jc w:val="both"/>
      </w:pPr>
      <w:r>
        <w:rPr>
          <w:rFonts w:ascii="Calibri" w:hAnsi="Calibri"/>
          <w:color w:val="3C4A5A"/>
          <w:sz w:val="20"/>
        </w:rPr>
        <w:t>Curated reference cases derived directly from the KPMG Excel workbook. Engine output must match byte-for-byte. These are the regression contract with the methodology team.</w:t>
      </w:r>
    </w:p>
    <w:p w14:paraId="434FE25B" w14:textId="77777777" w:rsidR="00A50448" w:rsidRDefault="00000000">
      <w:pPr>
        <w:shd w:val="clear" w:color="auto" w:fill="1E1E1E"/>
        <w:spacing w:before="80" w:after="120"/>
        <w:ind w:left="113"/>
      </w:pPr>
      <w:r>
        <w:rPr>
          <w:rFonts w:ascii="Consolas" w:hAnsi="Consolas"/>
          <w:color w:val="FFFFFF"/>
          <w:sz w:val="18"/>
        </w:rPr>
        <w:t>Known example:</w:t>
      </w:r>
      <w:r>
        <w:rPr>
          <w:rFonts w:ascii="Consolas" w:hAnsi="Consolas"/>
          <w:color w:val="FFFFFF"/>
          <w:sz w:val="18"/>
        </w:rPr>
        <w:br/>
        <w:t xml:space="preserve">  Data centre electricity = 361 kWh</w:t>
      </w:r>
      <w:r>
        <w:rPr>
          <w:rFonts w:ascii="Consolas" w:hAnsi="Consolas"/>
          <w:color w:val="FFFFFF"/>
          <w:sz w:val="18"/>
        </w:rPr>
        <w:br/>
        <w:t xml:space="preserve">  France factor           = 0.055</w:t>
      </w:r>
      <w:r>
        <w:rPr>
          <w:rFonts w:ascii="Consolas" w:hAnsi="Consolas"/>
          <w:color w:val="FFFFFF"/>
          <w:sz w:val="18"/>
        </w:rPr>
        <w:br/>
        <w:t xml:space="preserve">  Expected result         = 19.855 kgCO2e/year</w:t>
      </w:r>
    </w:p>
    <w:p w14:paraId="6AAB8523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10.3 Regression tests</w:t>
      </w:r>
    </w:p>
    <w:p w14:paraId="511F85E0" w14:textId="77777777" w:rsidR="00A50448" w:rsidRDefault="00000000">
      <w:pPr>
        <w:spacing w:after="80" w:line="240" w:lineRule="auto"/>
        <w:jc w:val="both"/>
      </w:pPr>
      <w:r>
        <w:rPr>
          <w:rFonts w:ascii="Calibri" w:hAnsi="Calibri"/>
          <w:color w:val="3C4A5A"/>
          <w:sz w:val="20"/>
        </w:rPr>
        <w:t>Every time formulas or source factors change, the full golden-case input set is re-run and outputs are diffed. The diff is approved (and the change explained) before the new factor_set is published. This is also why historical assessments pin factor versions: they never regress.</w:t>
      </w:r>
    </w:p>
    <w:p w14:paraId="415FCD5F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10.4 Factor-import tests</w:t>
      </w:r>
    </w:p>
    <w:p w14:paraId="13569E0A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No missing factor names</w:t>
      </w:r>
    </w:p>
    <w:p w14:paraId="7CF9A804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No duplicate IDs across (source, source_version, factor_key)</w:t>
      </w:r>
    </w:p>
    <w:p w14:paraId="10AF9F1C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All units are in the allow-list (kgCO₂e/kWh, kgCO₂e/device, kgCO₂e/year, tCO₂e/year)</w:t>
      </w:r>
    </w:p>
    <w:p w14:paraId="3C77C02D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use_ratio + manufacturing_ratio sum to 1.0 (± 0.001)</w:t>
      </w:r>
    </w:p>
    <w:p w14:paraId="5914515E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No negative factors unless explicitly allowlisted (rare, e.g. avoided emissions)</w:t>
      </w:r>
    </w:p>
    <w:p w14:paraId="7B8266E0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10.5 Contract &amp; end-to-end</w:t>
      </w:r>
    </w:p>
    <w:p w14:paraId="54B19683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OpenAPI contract test on every /assessments/:id/* endpoint</w:t>
      </w:r>
    </w:p>
    <w:p w14:paraId="3BE7F23C" w14:textId="77777777" w:rsidR="00A50448" w:rsidRDefault="00000000">
      <w:pPr>
        <w:pStyle w:val="ListBullet"/>
        <w:spacing w:after="40"/>
      </w:pPr>
      <w:r>
        <w:rPr>
          <w:rFonts w:ascii="Calibri" w:hAnsi="Calibri"/>
          <w:color w:val="3C4A5A"/>
          <w:sz w:val="20"/>
        </w:rPr>
        <w:t>Playwright E2E covering the 8-step journey from create → export, asserting PDF byte size and result hash</w:t>
      </w:r>
    </w:p>
    <w:p w14:paraId="4C44CF0C" w14:textId="77777777" w:rsidR="00A50448" w:rsidRDefault="00000000">
      <w:r>
        <w:br/>
      </w:r>
      <w:r>
        <w:br w:type="page"/>
      </w:r>
    </w:p>
    <w:p w14:paraId="06C7E4BE" w14:textId="77777777" w:rsidR="00A50448" w:rsidRDefault="00000000">
      <w:pPr>
        <w:spacing w:before="240" w:after="160"/>
      </w:pPr>
      <w:r>
        <w:rPr>
          <w:rFonts w:ascii="Calibri" w:hAnsi="Calibri"/>
          <w:b/>
          <w:color w:val="0A2540"/>
          <w:sz w:val="36"/>
        </w:rPr>
        <w:lastRenderedPageBreak/>
        <w:t>11. Phased Roadmap</w:t>
      </w:r>
    </w:p>
    <w:p w14:paraId="3D9EF749" w14:textId="77777777" w:rsidR="00A50448" w:rsidRDefault="00A50448">
      <w:pPr>
        <w:pBdr>
          <w:bottom w:val="single" w:sz="6" w:space="1" w:color="D7DEE5"/>
        </w:pBdr>
        <w:spacing w:after="120"/>
      </w:pPr>
    </w:p>
    <w:p w14:paraId="16817015" w14:textId="77777777" w:rsidR="00A50448" w:rsidRDefault="00000000">
      <w:pPr>
        <w:spacing w:after="80" w:line="240" w:lineRule="auto"/>
        <w:jc w:val="both"/>
      </w:pPr>
      <w:r>
        <w:rPr>
          <w:rFonts w:ascii="Calibri" w:hAnsi="Calibri"/>
          <w:color w:val="3C4A5A"/>
          <w:sz w:val="20"/>
        </w:rPr>
        <w:t>Build in phases. Do not attempt the full enterprise platform on day one — that is exactly the failure mode the source guide is trying to prevent.</w:t>
      </w:r>
    </w:p>
    <w:tbl>
      <w:tblPr>
        <w:tblW w:w="0" w:type="auto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154"/>
        <w:gridCol w:w="6520"/>
      </w:tblGrid>
      <w:tr w:rsidR="00A50448" w14:paraId="3BCE25E2" w14:textId="77777777">
        <w:tc>
          <w:tcPr>
            <w:tcW w:w="680" w:type="dxa"/>
            <w:shd w:val="clear" w:color="auto" w:fill="0A2540"/>
          </w:tcPr>
          <w:p w14:paraId="7EB590D2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w="2154" w:type="dxa"/>
            <w:shd w:val="clear" w:color="auto" w:fill="0A2540"/>
          </w:tcPr>
          <w:p w14:paraId="1681B52A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Theme</w:t>
            </w:r>
          </w:p>
        </w:tc>
        <w:tc>
          <w:tcPr>
            <w:tcW w:w="6520" w:type="dxa"/>
            <w:shd w:val="clear" w:color="auto" w:fill="0A2540"/>
          </w:tcPr>
          <w:p w14:paraId="090FBCE4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Deliverables</w:t>
            </w:r>
          </w:p>
        </w:tc>
      </w:tr>
      <w:tr w:rsidR="00A50448" w14:paraId="205E575A" w14:textId="77777777">
        <w:tc>
          <w:tcPr>
            <w:tcW w:w="680" w:type="dxa"/>
          </w:tcPr>
          <w:p w14:paraId="6E902BA3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1</w:t>
            </w:r>
          </w:p>
        </w:tc>
        <w:tc>
          <w:tcPr>
            <w:tcW w:w="2154" w:type="dxa"/>
          </w:tcPr>
          <w:p w14:paraId="2BE6F292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Understanding prototype</w:t>
            </w:r>
          </w:p>
        </w:tc>
        <w:tc>
          <w:tcPr>
            <w:tcW w:w="6520" w:type="dxa"/>
          </w:tcPr>
          <w:p w14:paraId="55F4834F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Basic UI · Manual inputs · Static factor table · Simple results · Excel export</w:t>
            </w:r>
          </w:p>
        </w:tc>
      </w:tr>
      <w:tr w:rsidR="00A50448" w14:paraId="18E6BF39" w14:textId="77777777">
        <w:tc>
          <w:tcPr>
            <w:tcW w:w="680" w:type="dxa"/>
            <w:shd w:val="clear" w:color="auto" w:fill="F4F6F8"/>
          </w:tcPr>
          <w:p w14:paraId="5E49CF84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2</w:t>
            </w:r>
          </w:p>
        </w:tc>
        <w:tc>
          <w:tcPr>
            <w:tcW w:w="2154" w:type="dxa"/>
            <w:shd w:val="clear" w:color="auto" w:fill="F4F6F8"/>
          </w:tcPr>
          <w:p w14:paraId="50AAE128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Governed MVP</w:t>
            </w:r>
          </w:p>
        </w:tc>
        <w:tc>
          <w:tcPr>
            <w:tcW w:w="6520" w:type="dxa"/>
            <w:shd w:val="clear" w:color="auto" w:fill="F4F6F8"/>
          </w:tcPr>
          <w:p w14:paraId="468C8C14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PostgreSQL factor tables · Source metadata · Assessment versioning · PDF/Excel report · Audit trail · Admin factor import</w:t>
            </w:r>
          </w:p>
        </w:tc>
      </w:tr>
      <w:tr w:rsidR="00A50448" w14:paraId="7F3D998D" w14:textId="77777777">
        <w:tc>
          <w:tcPr>
            <w:tcW w:w="680" w:type="dxa"/>
          </w:tcPr>
          <w:p w14:paraId="6742AD05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3</w:t>
            </w:r>
          </w:p>
        </w:tc>
        <w:tc>
          <w:tcPr>
            <w:tcW w:w="2154" w:type="dxa"/>
          </w:tcPr>
          <w:p w14:paraId="03F48551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Product-grade calculator</w:t>
            </w:r>
          </w:p>
        </w:tc>
        <w:tc>
          <w:tcPr>
            <w:tcW w:w="6520" w:type="dxa"/>
          </w:tcPr>
          <w:p w14:paraId="56AB2880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Role-based access · Multiple organisations · Scenario modelling · Approval workflow · Factor version management · Data quality scoring</w:t>
            </w:r>
          </w:p>
        </w:tc>
      </w:tr>
      <w:tr w:rsidR="00A50448" w14:paraId="429AEAE0" w14:textId="77777777">
        <w:tc>
          <w:tcPr>
            <w:tcW w:w="680" w:type="dxa"/>
            <w:shd w:val="clear" w:color="auto" w:fill="F4F6F8"/>
          </w:tcPr>
          <w:p w14:paraId="7938BB5E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4</w:t>
            </w:r>
          </w:p>
        </w:tc>
        <w:tc>
          <w:tcPr>
            <w:tcW w:w="2154" w:type="dxa"/>
            <w:shd w:val="clear" w:color="auto" w:fill="F4F6F8"/>
          </w:tcPr>
          <w:p w14:paraId="1078FCD0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Advanced capability</w:t>
            </w:r>
          </w:p>
        </w:tc>
        <w:tc>
          <w:tcPr>
            <w:tcW w:w="6520" w:type="dxa"/>
            <w:shd w:val="clear" w:color="auto" w:fill="F4F6F8"/>
          </w:tcPr>
          <w:p w14:paraId="0C876E30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Cloud provider API integrations · Procurement imports · Asset management integrations · Reduction recommendations · Benchmarks</w:t>
            </w:r>
          </w:p>
        </w:tc>
      </w:tr>
      <w:tr w:rsidR="00A50448" w14:paraId="14E85F56" w14:textId="77777777">
        <w:tc>
          <w:tcPr>
            <w:tcW w:w="680" w:type="dxa"/>
          </w:tcPr>
          <w:p w14:paraId="4C315922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5</w:t>
            </w:r>
          </w:p>
        </w:tc>
        <w:tc>
          <w:tcPr>
            <w:tcW w:w="2154" w:type="dxa"/>
          </w:tcPr>
          <w:p w14:paraId="1C354B50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Assurance-ready</w:t>
            </w:r>
          </w:p>
        </w:tc>
        <w:tc>
          <w:tcPr>
            <w:tcW w:w="6520" w:type="dxa"/>
          </w:tcPr>
          <w:p w14:paraId="43970D5C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Methodology locking · Evidence attachments · Change history · Assumption approval · Reviewer sign-off · Exportable audit pack</w:t>
            </w:r>
          </w:p>
        </w:tc>
      </w:tr>
    </w:tbl>
    <w:p w14:paraId="319E22B6" w14:textId="77777777" w:rsidR="00A50448" w:rsidRDefault="00A50448">
      <w:pPr>
        <w:spacing w:after="80"/>
      </w:pPr>
    </w:p>
    <w:p w14:paraId="1AA66A00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11.1 Four-week cheat sheet (Phase 1 → 2)</w:t>
      </w:r>
    </w:p>
    <w:tbl>
      <w:tblPr>
        <w:tblW w:w="0" w:type="auto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438"/>
        <w:gridCol w:w="6237"/>
      </w:tblGrid>
      <w:tr w:rsidR="00A50448" w14:paraId="0A9C4120" w14:textId="77777777">
        <w:tc>
          <w:tcPr>
            <w:tcW w:w="680" w:type="dxa"/>
            <w:shd w:val="clear" w:color="auto" w:fill="0A2540"/>
          </w:tcPr>
          <w:p w14:paraId="7D3D3938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Week</w:t>
            </w:r>
          </w:p>
        </w:tc>
        <w:tc>
          <w:tcPr>
            <w:tcW w:w="2438" w:type="dxa"/>
            <w:shd w:val="clear" w:color="auto" w:fill="0A2540"/>
          </w:tcPr>
          <w:p w14:paraId="30C91487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Focus</w:t>
            </w:r>
          </w:p>
        </w:tc>
        <w:tc>
          <w:tcPr>
            <w:tcW w:w="6237" w:type="dxa"/>
            <w:shd w:val="clear" w:color="auto" w:fill="0A2540"/>
          </w:tcPr>
          <w:p w14:paraId="2D254A33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</w:tr>
      <w:tr w:rsidR="00A50448" w14:paraId="7385FC91" w14:textId="77777777">
        <w:tc>
          <w:tcPr>
            <w:tcW w:w="680" w:type="dxa"/>
          </w:tcPr>
          <w:p w14:paraId="277B1DC0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1</w:t>
            </w:r>
          </w:p>
        </w:tc>
        <w:tc>
          <w:tcPr>
            <w:tcW w:w="2438" w:type="dxa"/>
          </w:tcPr>
          <w:p w14:paraId="39312046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Understand and model</w:t>
            </w:r>
          </w:p>
        </w:tc>
        <w:tc>
          <w:tcPr>
            <w:tcW w:w="6237" w:type="dxa"/>
          </w:tcPr>
          <w:p w14:paraId="2CAFE8E2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Read the Excel · Identify source sheets · Document formulas · Create data model · Sample test cases</w:t>
            </w:r>
          </w:p>
        </w:tc>
      </w:tr>
      <w:tr w:rsidR="00A50448" w14:paraId="2D57A79C" w14:textId="77777777">
        <w:tc>
          <w:tcPr>
            <w:tcW w:w="680" w:type="dxa"/>
            <w:shd w:val="clear" w:color="auto" w:fill="F4F6F8"/>
          </w:tcPr>
          <w:p w14:paraId="7637380A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2</w:t>
            </w:r>
          </w:p>
        </w:tc>
        <w:tc>
          <w:tcPr>
            <w:tcW w:w="2438" w:type="dxa"/>
            <w:shd w:val="clear" w:color="auto" w:fill="F4F6F8"/>
          </w:tcPr>
          <w:p w14:paraId="3F6DD118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Build calculation engine</w:t>
            </w:r>
          </w:p>
        </w:tc>
        <w:tc>
          <w:tcPr>
            <w:tcW w:w="6237" w:type="dxa"/>
            <w:shd w:val="clear" w:color="auto" w:fill="F4F6F8"/>
          </w:tcPr>
          <w:p w14:paraId="72FB4A20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Factor tables · calculate* functions · Unit tests · Validate against Excel golden cases</w:t>
            </w:r>
          </w:p>
        </w:tc>
      </w:tr>
      <w:tr w:rsidR="00A50448" w14:paraId="4A33B126" w14:textId="77777777">
        <w:tc>
          <w:tcPr>
            <w:tcW w:w="680" w:type="dxa"/>
          </w:tcPr>
          <w:p w14:paraId="16C5DA6D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3</w:t>
            </w:r>
          </w:p>
        </w:tc>
        <w:tc>
          <w:tcPr>
            <w:tcW w:w="2438" w:type="dxa"/>
          </w:tcPr>
          <w:p w14:paraId="3F593767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Build UI</w:t>
            </w:r>
          </w:p>
        </w:tc>
        <w:tc>
          <w:tcPr>
            <w:tcW w:w="6237" w:type="dxa"/>
          </w:tcPr>
          <w:p w14:paraId="5CAF3FE9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Assessment setup · Asset inventory · Data centre input · Cloud input · Results dashboard</w:t>
            </w:r>
          </w:p>
        </w:tc>
      </w:tr>
      <w:tr w:rsidR="00A50448" w14:paraId="216F7589" w14:textId="77777777">
        <w:tc>
          <w:tcPr>
            <w:tcW w:w="680" w:type="dxa"/>
            <w:shd w:val="clear" w:color="auto" w:fill="F4F6F8"/>
          </w:tcPr>
          <w:p w14:paraId="3C1FE109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4</w:t>
            </w:r>
          </w:p>
        </w:tc>
        <w:tc>
          <w:tcPr>
            <w:tcW w:w="2438" w:type="dxa"/>
            <w:shd w:val="clear" w:color="auto" w:fill="F4F6F8"/>
          </w:tcPr>
          <w:p w14:paraId="2E08F521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Add reporting and governance</w:t>
            </w:r>
          </w:p>
        </w:tc>
        <w:tc>
          <w:tcPr>
            <w:tcW w:w="6237" w:type="dxa"/>
            <w:shd w:val="clear" w:color="auto" w:fill="F4F6F8"/>
          </w:tcPr>
          <w:p w14:paraId="28B0CB2E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Export report · Source references · Assumptions screen · Audit trail · Admin factor upload</w:t>
            </w:r>
          </w:p>
        </w:tc>
      </w:tr>
    </w:tbl>
    <w:p w14:paraId="4BFCC9BB" w14:textId="77777777" w:rsidR="00A50448" w:rsidRDefault="00A50448">
      <w:pPr>
        <w:spacing w:after="80"/>
      </w:pPr>
    </w:p>
    <w:p w14:paraId="3BD3F748" w14:textId="77777777" w:rsidR="00A50448" w:rsidRDefault="00000000">
      <w:r>
        <w:br/>
      </w:r>
      <w:r>
        <w:br w:type="page"/>
      </w:r>
    </w:p>
    <w:p w14:paraId="4DC251A8" w14:textId="77777777" w:rsidR="00A50448" w:rsidRDefault="00000000">
      <w:pPr>
        <w:spacing w:before="240" w:after="160"/>
      </w:pPr>
      <w:r>
        <w:rPr>
          <w:rFonts w:ascii="Calibri" w:hAnsi="Calibri"/>
          <w:b/>
          <w:color w:val="0A2540"/>
          <w:sz w:val="36"/>
        </w:rPr>
        <w:lastRenderedPageBreak/>
        <w:t>12. Risks &amp; Anti-patterns</w:t>
      </w:r>
    </w:p>
    <w:p w14:paraId="32C38554" w14:textId="77777777" w:rsidR="00A50448" w:rsidRDefault="00A50448">
      <w:pPr>
        <w:pBdr>
          <w:bottom w:val="single" w:sz="6" w:space="1" w:color="D7DEE5"/>
        </w:pBdr>
        <w:spacing w:after="120"/>
      </w:pPr>
    </w:p>
    <w:p w14:paraId="11DEC58E" w14:textId="77777777" w:rsidR="00A50448" w:rsidRDefault="00000000">
      <w:pPr>
        <w:spacing w:after="80" w:line="240" w:lineRule="auto"/>
        <w:jc w:val="both"/>
      </w:pPr>
      <w:r>
        <w:rPr>
          <w:rFonts w:ascii="Calibri" w:hAnsi="Calibri"/>
          <w:color w:val="3C4A5A"/>
          <w:sz w:val="20"/>
        </w:rPr>
        <w:t>Five mistakes will sink this product. They are explicit prohibitions, not preferences.</w:t>
      </w:r>
    </w:p>
    <w:tbl>
      <w:tblPr>
        <w:tblW w:w="0" w:type="auto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453"/>
        <w:gridCol w:w="3685"/>
        <w:gridCol w:w="5216"/>
      </w:tblGrid>
      <w:tr w:rsidR="00A50448" w14:paraId="2B0AE3A8" w14:textId="77777777">
        <w:tc>
          <w:tcPr>
            <w:tcW w:w="453" w:type="dxa"/>
            <w:shd w:val="clear" w:color="auto" w:fill="0A2540"/>
          </w:tcPr>
          <w:p w14:paraId="2A4D8A7D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3685" w:type="dxa"/>
            <w:shd w:val="clear" w:color="auto" w:fill="0A2540"/>
          </w:tcPr>
          <w:p w14:paraId="7BC6B632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Anti-pattern</w:t>
            </w:r>
          </w:p>
        </w:tc>
        <w:tc>
          <w:tcPr>
            <w:tcW w:w="5216" w:type="dxa"/>
            <w:shd w:val="clear" w:color="auto" w:fill="0A2540"/>
          </w:tcPr>
          <w:p w14:paraId="1148A5BC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What to do instead</w:t>
            </w:r>
          </w:p>
        </w:tc>
      </w:tr>
      <w:tr w:rsidR="00A50448" w14:paraId="303C6B56" w14:textId="77777777">
        <w:tc>
          <w:tcPr>
            <w:tcW w:w="453" w:type="dxa"/>
          </w:tcPr>
          <w:p w14:paraId="5BCC6D03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1</w:t>
            </w:r>
          </w:p>
        </w:tc>
        <w:tc>
          <w:tcPr>
            <w:tcW w:w="3685" w:type="dxa"/>
          </w:tcPr>
          <w:p w14:paraId="4C7EE2C8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Copying the Excel cell-for-cell</w:t>
            </w:r>
          </w:p>
        </w:tc>
        <w:tc>
          <w:tcPr>
            <w:tcW w:w="5216" w:type="dxa"/>
          </w:tcPr>
          <w:p w14:paraId="3ACEF291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Extract the formula family and source data; design a clean calculation engine. The Excel is a reference, not a target.</w:t>
            </w:r>
          </w:p>
        </w:tc>
      </w:tr>
      <w:tr w:rsidR="00A50448" w14:paraId="2A475601" w14:textId="77777777">
        <w:tc>
          <w:tcPr>
            <w:tcW w:w="453" w:type="dxa"/>
            <w:shd w:val="clear" w:color="auto" w:fill="F4F6F8"/>
          </w:tcPr>
          <w:p w14:paraId="18EE80BC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2</w:t>
            </w:r>
          </w:p>
        </w:tc>
        <w:tc>
          <w:tcPr>
            <w:tcW w:w="3685" w:type="dxa"/>
            <w:shd w:val="clear" w:color="auto" w:fill="F4F6F8"/>
          </w:tcPr>
          <w:p w14:paraId="10CD7282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Hardcoding emission factors in code (const ukElectricityFactor = 0.209)</w:t>
            </w:r>
          </w:p>
        </w:tc>
        <w:tc>
          <w:tcPr>
            <w:tcW w:w="5216" w:type="dxa"/>
            <w:shd w:val="clear" w:color="auto" w:fill="F4F6F8"/>
          </w:tcPr>
          <w:p w14:paraId="34AEA045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Store factors in country_factor / emission_factor tables with country, year, source, source_version metadata.</w:t>
            </w:r>
          </w:p>
        </w:tc>
      </w:tr>
      <w:tr w:rsidR="00A50448" w14:paraId="69D3E932" w14:textId="77777777">
        <w:tc>
          <w:tcPr>
            <w:tcW w:w="453" w:type="dxa"/>
          </w:tcPr>
          <w:p w14:paraId="0DBB1D2A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3</w:t>
            </w:r>
          </w:p>
        </w:tc>
        <w:tc>
          <w:tcPr>
            <w:tcW w:w="3685" w:type="dxa"/>
          </w:tcPr>
          <w:p w14:paraId="5E5A7B98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Ignoring units (numbers without kgCO₂e/kWh attached)</w:t>
            </w:r>
          </w:p>
        </w:tc>
        <w:tc>
          <w:tcPr>
            <w:tcW w:w="5216" w:type="dxa"/>
          </w:tcPr>
          <w:p w14:paraId="50445DEB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Every factor row stores its unit. Engine refuses to multiply mismatched units.</w:t>
            </w:r>
          </w:p>
        </w:tc>
      </w:tr>
      <w:tr w:rsidR="00A50448" w14:paraId="627D7C0C" w14:textId="77777777">
        <w:tc>
          <w:tcPr>
            <w:tcW w:w="453" w:type="dxa"/>
            <w:shd w:val="clear" w:color="auto" w:fill="F4F6F8"/>
          </w:tcPr>
          <w:p w14:paraId="01A6016E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4</w:t>
            </w:r>
          </w:p>
        </w:tc>
        <w:tc>
          <w:tcPr>
            <w:tcW w:w="3685" w:type="dxa"/>
            <w:shd w:val="clear" w:color="auto" w:fill="F4F6F8"/>
          </w:tcPr>
          <w:p w14:paraId="58917967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No source traceability — "where did this number come from?" has no answer</w:t>
            </w:r>
          </w:p>
        </w:tc>
        <w:tc>
          <w:tcPr>
            <w:tcW w:w="5216" w:type="dxa"/>
            <w:shd w:val="clear" w:color="auto" w:fill="F4F6F8"/>
          </w:tcPr>
          <w:p w14:paraId="5FEB5735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Every calculation_result row has a factor_id and source_reference. Report appendix lists them.</w:t>
            </w:r>
          </w:p>
        </w:tc>
      </w:tr>
      <w:tr w:rsidR="00A50448" w14:paraId="21DEE66A" w14:textId="77777777">
        <w:tc>
          <w:tcPr>
            <w:tcW w:w="453" w:type="dxa"/>
          </w:tcPr>
          <w:p w14:paraId="030CB281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5</w:t>
            </w:r>
          </w:p>
        </w:tc>
        <w:tc>
          <w:tcPr>
            <w:tcW w:w="3685" w:type="dxa"/>
          </w:tcPr>
          <w:p w14:paraId="19289FAF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No distinction between exact and estimated factors</w:t>
            </w:r>
          </w:p>
        </w:tc>
        <w:tc>
          <w:tcPr>
            <w:tcW w:w="5216" w:type="dxa"/>
          </w:tcPr>
          <w:p w14:paraId="4682C57B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Persist match_confidence per row. UI badges it. Report flags every estimated row in the limitations section.</w:t>
            </w:r>
          </w:p>
        </w:tc>
      </w:tr>
    </w:tbl>
    <w:p w14:paraId="7F3A251B" w14:textId="77777777" w:rsidR="00A50448" w:rsidRDefault="00A50448">
      <w:pPr>
        <w:spacing w:after="80"/>
      </w:pPr>
    </w:p>
    <w:p w14:paraId="74AE6A47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12.1 Other risks</w:t>
      </w:r>
    </w:p>
    <w:tbl>
      <w:tblPr>
        <w:tblW w:w="0" w:type="auto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A50448" w14:paraId="527BFBBA" w14:textId="77777777">
        <w:tc>
          <w:tcPr>
            <w:tcW w:w="3969" w:type="dxa"/>
            <w:shd w:val="clear" w:color="auto" w:fill="0A2540"/>
          </w:tcPr>
          <w:p w14:paraId="62300E2B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w="5386" w:type="dxa"/>
            <w:shd w:val="clear" w:color="auto" w:fill="0A2540"/>
          </w:tcPr>
          <w:p w14:paraId="689C6282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 w:rsidR="00A50448" w14:paraId="49C22159" w14:textId="77777777">
        <w:tc>
          <w:tcPr>
            <w:tcW w:w="3969" w:type="dxa"/>
          </w:tcPr>
          <w:p w14:paraId="7974FAFD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Boavizta API or dataset format changes</w:t>
            </w:r>
          </w:p>
        </w:tc>
        <w:tc>
          <w:tcPr>
            <w:tcW w:w="5386" w:type="dxa"/>
          </w:tcPr>
          <w:p w14:paraId="17CDB5BF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All factor imports go through the versioned admin pipeline; existing assessments pin their factor_set.</w:t>
            </w:r>
          </w:p>
        </w:tc>
      </w:tr>
      <w:tr w:rsidR="00A50448" w14:paraId="734BAB69" w14:textId="77777777">
        <w:tc>
          <w:tcPr>
            <w:tcW w:w="3969" w:type="dxa"/>
            <w:shd w:val="clear" w:color="auto" w:fill="F4F6F8"/>
          </w:tcPr>
          <w:p w14:paraId="37863FAE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UK Gov / ADEME annual update changes results year-over-year</w:t>
            </w:r>
          </w:p>
        </w:tc>
        <w:tc>
          <w:tcPr>
            <w:tcW w:w="5386" w:type="dxa"/>
            <w:shd w:val="clear" w:color="auto" w:fill="F4F6F8"/>
          </w:tcPr>
          <w:p w14:paraId="3445C2B7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Year-pinned country_factor rows; report explicitly states factor source and year.</w:t>
            </w:r>
          </w:p>
        </w:tc>
      </w:tr>
      <w:tr w:rsidR="00A50448" w14:paraId="08558481" w14:textId="77777777">
        <w:tc>
          <w:tcPr>
            <w:tcW w:w="3969" w:type="dxa"/>
          </w:tcPr>
          <w:p w14:paraId="38FBDF8B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Cloud providers under-report Scope 3 in their customer-facing reports</w:t>
            </w:r>
          </w:p>
        </w:tc>
        <w:tc>
          <w:tcPr>
            <w:tcW w:w="5386" w:type="dxa"/>
          </w:tcPr>
          <w:p w14:paraId="31BBAFD6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Document the limitation in the methodology section; allow a manual override factor.</w:t>
            </w:r>
          </w:p>
        </w:tc>
      </w:tr>
      <w:tr w:rsidR="00A50448" w14:paraId="2018DC88" w14:textId="77777777">
        <w:tc>
          <w:tcPr>
            <w:tcW w:w="3969" w:type="dxa"/>
            <w:shd w:val="clear" w:color="auto" w:fill="F4F6F8"/>
          </w:tcPr>
          <w:p w14:paraId="53C90195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Single user fat-fingers the inventory and republishes</w:t>
            </w:r>
          </w:p>
        </w:tc>
        <w:tc>
          <w:tcPr>
            <w:tcW w:w="5386" w:type="dxa"/>
            <w:shd w:val="clear" w:color="auto" w:fill="F4F6F8"/>
          </w:tcPr>
          <w:p w14:paraId="614E9E39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Drafts vs. published assessments; audit_log shows before/after; reviewer sign-off required for publish.</w:t>
            </w:r>
          </w:p>
        </w:tc>
      </w:tr>
      <w:tr w:rsidR="00A50448" w14:paraId="6DD5C112" w14:textId="77777777">
        <w:tc>
          <w:tcPr>
            <w:tcW w:w="3969" w:type="dxa"/>
          </w:tcPr>
          <w:p w14:paraId="74D10F7D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Methodology debate (e.g. should cloud be Scope 2 or Scope 3?)</w:t>
            </w:r>
          </w:p>
        </w:tc>
        <w:tc>
          <w:tcPr>
            <w:tcW w:w="5386" w:type="dxa"/>
          </w:tcPr>
          <w:p w14:paraId="134C368F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Encoded as a versioned assumption (e.g. cloud_scope_classification = Scope 3); changing it is a methodology change with approval.</w:t>
            </w:r>
          </w:p>
        </w:tc>
      </w:tr>
    </w:tbl>
    <w:p w14:paraId="3C5CC76D" w14:textId="77777777" w:rsidR="00A50448" w:rsidRDefault="00A50448">
      <w:pPr>
        <w:spacing w:after="80"/>
      </w:pPr>
    </w:p>
    <w:p w14:paraId="4E5B6C0D" w14:textId="77777777" w:rsidR="00A50448" w:rsidRDefault="00000000">
      <w:r>
        <w:br/>
      </w:r>
      <w:r>
        <w:br w:type="page"/>
      </w:r>
    </w:p>
    <w:p w14:paraId="244D0531" w14:textId="77777777" w:rsidR="00A50448" w:rsidRDefault="00000000">
      <w:pPr>
        <w:spacing w:before="240" w:after="160"/>
      </w:pPr>
      <w:r>
        <w:rPr>
          <w:rFonts w:ascii="Calibri" w:hAnsi="Calibri"/>
          <w:b/>
          <w:color w:val="0A2540"/>
          <w:sz w:val="36"/>
        </w:rPr>
        <w:lastRenderedPageBreak/>
        <w:t>13. Appendix — References</w:t>
      </w:r>
    </w:p>
    <w:p w14:paraId="39CCF3CE" w14:textId="77777777" w:rsidR="00A50448" w:rsidRDefault="00A50448">
      <w:pPr>
        <w:pBdr>
          <w:bottom w:val="single" w:sz="6" w:space="1" w:color="D7DEE5"/>
        </w:pBdr>
        <w:spacing w:after="120"/>
      </w:pPr>
    </w:p>
    <w:p w14:paraId="06B1F8DC" w14:textId="77777777" w:rsidR="00A50448" w:rsidRDefault="00000000">
      <w:pPr>
        <w:spacing w:after="80" w:line="240" w:lineRule="auto"/>
        <w:jc w:val="both"/>
      </w:pPr>
      <w:r>
        <w:rPr>
          <w:rFonts w:ascii="Calibri" w:hAnsi="Calibri"/>
          <w:color w:val="3C4A5A"/>
          <w:sz w:val="20"/>
        </w:rPr>
        <w:t>Methodology and dataset sources used by the engine:</w:t>
      </w:r>
    </w:p>
    <w:p w14:paraId="74A4CD49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GHG Protocol</w:t>
      </w:r>
      <w:r>
        <w:rPr>
          <w:rFonts w:ascii="Calibri" w:hAnsi="Calibri"/>
          <w:color w:val="3C4A5A"/>
          <w:sz w:val="20"/>
        </w:rPr>
        <w:t xml:space="preserve"> — Corporate Standard. Source of Scope 1 / Scope 2 / Scope 3 definitions and accounting concepts.</w:t>
      </w:r>
    </w:p>
    <w:p w14:paraId="716460A7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Boavizta</w:t>
      </w:r>
      <w:r>
        <w:rPr>
          <w:rFonts w:ascii="Calibri" w:hAnsi="Calibri"/>
          <w:color w:val="3C4A5A"/>
          <w:sz w:val="20"/>
        </w:rPr>
        <w:t xml:space="preserve"> — ICT/digital environmental impact data, methodology, and API reference. Primary source for device-level emission factors.</w:t>
      </w:r>
    </w:p>
    <w:p w14:paraId="32DCDFAE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ADEME / Base Empreinte</w:t>
      </w:r>
      <w:r>
        <w:rPr>
          <w:rFonts w:ascii="Calibri" w:hAnsi="Calibri"/>
          <w:color w:val="3C4A5A"/>
          <w:sz w:val="20"/>
        </w:rPr>
        <w:t xml:space="preserve"> — Public emission factor database. Used as a fallback when no Boavizta match exists.</w:t>
      </w:r>
    </w:p>
    <w:p w14:paraId="5E7DD72C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UK Government greenhouse gas conversion factors</w:t>
      </w:r>
      <w:r>
        <w:rPr>
          <w:rFonts w:ascii="Calibri" w:hAnsi="Calibri"/>
          <w:color w:val="3C4A5A"/>
          <w:sz w:val="20"/>
        </w:rPr>
        <w:t xml:space="preserve"> — Annual reporting factors for UK electricity, fuels, transport, and methodology documentation.</w:t>
      </w:r>
    </w:p>
    <w:p w14:paraId="1CB49F55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Cloud provider sustainability reports</w:t>
      </w:r>
      <w:r>
        <w:rPr>
          <w:rFonts w:ascii="Calibri" w:hAnsi="Calibri"/>
          <w:color w:val="3C4A5A"/>
          <w:sz w:val="20"/>
        </w:rPr>
        <w:t xml:space="preserve"> — AWS Customer Carbon Footprint Tool, Microsoft Cloud for Sustainability, Google Cloud Carbon Footprint. Source of provider-reported customer emissions.</w:t>
      </w:r>
    </w:p>
    <w:p w14:paraId="58514C61" w14:textId="77777777" w:rsidR="00A50448" w:rsidRDefault="00000000">
      <w:pPr>
        <w:pStyle w:val="ListBullet"/>
        <w:spacing w:after="40"/>
      </w:pPr>
      <w:r>
        <w:rPr>
          <w:rFonts w:ascii="Calibri" w:hAnsi="Calibri"/>
          <w:b/>
          <w:color w:val="3C4A5A"/>
          <w:sz w:val="20"/>
        </w:rPr>
        <w:t>KPMG GreenPath IT Carbon Footprint Calculator workbook</w:t>
      </w:r>
      <w:r>
        <w:rPr>
          <w:rFonts w:ascii="Calibri" w:hAnsi="Calibri"/>
          <w:color w:val="3C4A5A"/>
          <w:sz w:val="20"/>
        </w:rPr>
        <w:t xml:space="preserve"> — Internal source of golden test cases and formula reference.</w:t>
      </w:r>
    </w:p>
    <w:p w14:paraId="41EC1089" w14:textId="77777777" w:rsidR="00A50448" w:rsidRDefault="00000000">
      <w:pPr>
        <w:spacing w:before="200" w:after="80"/>
      </w:pPr>
      <w:r>
        <w:rPr>
          <w:rFonts w:ascii="Calibri" w:hAnsi="Calibri"/>
          <w:b/>
          <w:color w:val="0A2540"/>
          <w:sz w:val="26"/>
        </w:rPr>
        <w:t>Document control</w:t>
      </w:r>
    </w:p>
    <w:tbl>
      <w:tblPr>
        <w:tblW w:w="0" w:type="auto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417"/>
        <w:gridCol w:w="2835"/>
        <w:gridCol w:w="3969"/>
      </w:tblGrid>
      <w:tr w:rsidR="00A50448" w14:paraId="0CD4AFB9" w14:textId="77777777">
        <w:tc>
          <w:tcPr>
            <w:tcW w:w="1134" w:type="dxa"/>
            <w:shd w:val="clear" w:color="auto" w:fill="0A2540"/>
          </w:tcPr>
          <w:p w14:paraId="184335CF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w="1417" w:type="dxa"/>
            <w:shd w:val="clear" w:color="auto" w:fill="0A2540"/>
          </w:tcPr>
          <w:p w14:paraId="6573F819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w="2835" w:type="dxa"/>
            <w:shd w:val="clear" w:color="auto" w:fill="0A2540"/>
          </w:tcPr>
          <w:p w14:paraId="2D01D63D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Author</w:t>
            </w:r>
          </w:p>
        </w:tc>
        <w:tc>
          <w:tcPr>
            <w:tcW w:w="3969" w:type="dxa"/>
            <w:shd w:val="clear" w:color="auto" w:fill="0A2540"/>
          </w:tcPr>
          <w:p w14:paraId="3A849F01" w14:textId="77777777" w:rsidR="00A50448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Change</w:t>
            </w:r>
          </w:p>
        </w:tc>
      </w:tr>
      <w:tr w:rsidR="00A50448" w14:paraId="572AE878" w14:textId="77777777">
        <w:tc>
          <w:tcPr>
            <w:tcW w:w="1134" w:type="dxa"/>
          </w:tcPr>
          <w:p w14:paraId="56661530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1.0</w:t>
            </w:r>
          </w:p>
        </w:tc>
        <w:tc>
          <w:tcPr>
            <w:tcW w:w="1417" w:type="dxa"/>
          </w:tcPr>
          <w:p w14:paraId="2547A922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2026-05-20</w:t>
            </w:r>
          </w:p>
        </w:tc>
        <w:tc>
          <w:tcPr>
            <w:tcW w:w="2835" w:type="dxa"/>
          </w:tcPr>
          <w:p w14:paraId="493036E5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Architecture team (draft)</w:t>
            </w:r>
          </w:p>
        </w:tc>
        <w:tc>
          <w:tcPr>
            <w:tcW w:w="3969" w:type="dxa"/>
          </w:tcPr>
          <w:p w14:paraId="59B6DC36" w14:textId="77777777" w:rsidR="00A50448" w:rsidRDefault="00000000">
            <w:pPr>
              <w:spacing w:after="40"/>
            </w:pPr>
            <w:r>
              <w:rPr>
                <w:rFonts w:ascii="Calibri" w:hAnsi="Calibri"/>
                <w:color w:val="3C4A5A"/>
                <w:sz w:val="18"/>
              </w:rPr>
              <w:t>Initial SDD synthesised from the 23-page build guide</w:t>
            </w:r>
          </w:p>
        </w:tc>
      </w:tr>
    </w:tbl>
    <w:p w14:paraId="6F4804B0" w14:textId="1E99A83C" w:rsidR="00A50448" w:rsidRDefault="00A50448"/>
    <w:sectPr w:rsidR="00A50448" w:rsidSect="00034616">
      <w:headerReference w:type="default" r:id="rId8"/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36786" w14:textId="77777777" w:rsidR="007F6759" w:rsidRDefault="007F6759">
      <w:pPr>
        <w:spacing w:after="0" w:line="240" w:lineRule="auto"/>
      </w:pPr>
      <w:r>
        <w:separator/>
      </w:r>
    </w:p>
  </w:endnote>
  <w:endnote w:type="continuationSeparator" w:id="0">
    <w:p w14:paraId="2429FE0F" w14:textId="77777777" w:rsidR="007F6759" w:rsidRDefault="007F6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267B" w14:textId="77777777" w:rsidR="00A50448" w:rsidRDefault="00000000">
    <w:pPr>
      <w:pStyle w:val="Footer"/>
      <w:tabs>
        <w:tab w:val="right" w:pos="9638"/>
      </w:tabs>
    </w:pPr>
    <w:r>
      <w:rPr>
        <w:rFonts w:ascii="Calibri" w:hAnsi="Calibri"/>
        <w:color w:val="3C4A5A"/>
        <w:sz w:val="16"/>
      </w:rPr>
      <w:t>Confidential — Draft</w:t>
    </w:r>
    <w:r>
      <w:rPr>
        <w:rFonts w:ascii="Calibri" w:hAnsi="Calibri"/>
        <w:color w:val="3C4A5A"/>
        <w:sz w:val="16"/>
      </w:rPr>
      <w:tab/>
    </w:r>
    <w:r>
      <w:rPr>
        <w:rFonts w:ascii="Calibri" w:hAnsi="Calibri"/>
        <w:color w:val="3C4A5A"/>
        <w:sz w:val="16"/>
      </w:rPr>
      <w:fldChar w:fldCharType="begin"/>
    </w:r>
    <w:r>
      <w:rPr>
        <w:rFonts w:ascii="Calibri" w:hAnsi="Calibri"/>
        <w:color w:val="3C4A5A"/>
        <w:sz w:val="16"/>
      </w:rPr>
      <w:instrText>PAGE</w:instrText>
    </w:r>
    <w:r w:rsidR="00EA714F">
      <w:rPr>
        <w:rFonts w:ascii="Calibri" w:hAnsi="Calibri"/>
        <w:color w:val="3C4A5A"/>
        <w:sz w:val="16"/>
      </w:rPr>
      <w:fldChar w:fldCharType="separate"/>
    </w:r>
    <w:r w:rsidR="00EA714F">
      <w:rPr>
        <w:rFonts w:ascii="Calibri" w:hAnsi="Calibri"/>
        <w:noProof/>
        <w:color w:val="3C4A5A"/>
        <w:sz w:val="16"/>
      </w:rPr>
      <w:t>1</w:t>
    </w:r>
    <w:r>
      <w:rPr>
        <w:rFonts w:ascii="Calibri" w:hAnsi="Calibri"/>
        <w:color w:val="3C4A5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8EC3F" w14:textId="77777777" w:rsidR="007F6759" w:rsidRDefault="007F6759">
      <w:pPr>
        <w:spacing w:after="0" w:line="240" w:lineRule="auto"/>
      </w:pPr>
      <w:r>
        <w:separator/>
      </w:r>
    </w:p>
  </w:footnote>
  <w:footnote w:type="continuationSeparator" w:id="0">
    <w:p w14:paraId="7257E029" w14:textId="77777777" w:rsidR="007F6759" w:rsidRDefault="007F6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5859" w14:textId="77777777" w:rsidR="00A50448" w:rsidRDefault="00000000">
    <w:pPr>
      <w:pStyle w:val="Header"/>
      <w:tabs>
        <w:tab w:val="right" w:pos="9638"/>
      </w:tabs>
    </w:pPr>
    <w:r>
      <w:rPr>
        <w:rFonts w:ascii="Calibri" w:hAnsi="Calibri"/>
        <w:color w:val="3C4A5A"/>
        <w:sz w:val="16"/>
      </w:rPr>
      <w:t xml:space="preserve">KPMG </w:t>
    </w:r>
    <w:proofErr w:type="spellStart"/>
    <w:r>
      <w:rPr>
        <w:rFonts w:ascii="Calibri" w:hAnsi="Calibri"/>
        <w:color w:val="3C4A5A"/>
        <w:sz w:val="16"/>
      </w:rPr>
      <w:t>GreenPath</w:t>
    </w:r>
    <w:proofErr w:type="spellEnd"/>
    <w:r>
      <w:rPr>
        <w:rFonts w:ascii="Calibri" w:hAnsi="Calibri"/>
        <w:color w:val="3C4A5A"/>
        <w:sz w:val="16"/>
      </w:rPr>
      <w:t xml:space="preserve">  ·  Carbon Footprint Calculator  ·  Software Design Document</w:t>
    </w:r>
    <w:r>
      <w:rPr>
        <w:rFonts w:ascii="Calibri" w:hAnsi="Calibri"/>
        <w:color w:val="3C4A5A"/>
        <w:sz w:val="16"/>
      </w:rPr>
      <w:tab/>
      <w:t>v1.0  ·  2026-05-20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614359">
    <w:abstractNumId w:val="8"/>
  </w:num>
  <w:num w:numId="2" w16cid:durableId="1263297127">
    <w:abstractNumId w:val="6"/>
  </w:num>
  <w:num w:numId="3" w16cid:durableId="158883704">
    <w:abstractNumId w:val="5"/>
  </w:num>
  <w:num w:numId="4" w16cid:durableId="1057166543">
    <w:abstractNumId w:val="4"/>
  </w:num>
  <w:num w:numId="5" w16cid:durableId="1119301170">
    <w:abstractNumId w:val="7"/>
  </w:num>
  <w:num w:numId="6" w16cid:durableId="939533282">
    <w:abstractNumId w:val="3"/>
  </w:num>
  <w:num w:numId="7" w16cid:durableId="1602256310">
    <w:abstractNumId w:val="2"/>
  </w:num>
  <w:num w:numId="8" w16cid:durableId="746461505">
    <w:abstractNumId w:val="1"/>
  </w:num>
  <w:num w:numId="9" w16cid:durableId="20750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78B"/>
    <w:rsid w:val="0015074B"/>
    <w:rsid w:val="0029639D"/>
    <w:rsid w:val="00326F90"/>
    <w:rsid w:val="007F6759"/>
    <w:rsid w:val="00A50448"/>
    <w:rsid w:val="00AA1D8D"/>
    <w:rsid w:val="00B47730"/>
    <w:rsid w:val="00CB0664"/>
    <w:rsid w:val="00EA71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5B214"/>
  <w14:defaultImageDpi w14:val="300"/>
  <w15:docId w15:val="{63FB4F8E-E716-C242-9FB2-F878DFF07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3452</Words>
  <Characters>21579</Characters>
  <Application>Microsoft Office Word</Application>
  <DocSecurity>0</DocSecurity>
  <Lines>719</Lines>
  <Paragraphs>532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Temi Makinde</cp:lastModifiedBy>
  <cp:revision>2</cp:revision>
  <dcterms:created xsi:type="dcterms:W3CDTF">2013-12-23T23:15:00Z</dcterms:created>
  <dcterms:modified xsi:type="dcterms:W3CDTF">2026-05-22T11:37:00Z</dcterms:modified>
  <cp:category/>
</cp:coreProperties>
</file>