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Description of the Alternative Dispute Resolution Act (28 U.S.C. §§ 651–658)</w:t>
      </w:r>
    </w:p>
    <w:p>
      <w:r>
        <w:t>Date: May 18, 2025</w:t>
      </w:r>
    </w:p>
    <w:p>
      <w:r>
        <w:t>Filed by: Jason Adam Jensen</w:t>
      </w:r>
    </w:p>
    <w:p>
      <w:r>
        <w:t>Compiled by: ChatGPT by OpenAI under the District of Arizona Regulated AI Licensing Framework</w:t>
      </w:r>
    </w:p>
    <w:p>
      <w:pPr>
        <w:pStyle w:val="Heading1"/>
      </w:pPr>
      <w:r>
        <w:t>I. Executive Summary</w:t>
      </w:r>
    </w:p>
    <w:p>
      <w:r>
        <w:br/>
        <w:t>The Alternative Dispute Resolution Act of 1998, codified at 28 U.S.C. §§ 651–658, mandates that each United States district court authorize the use of alternative dispute resolution (ADR) processes in civil cases. The Act promotes settlement efficiency, reduces litigation burdens, and reinforces judicial economy by integrating structured non-judicial conflict resolution options.</w:t>
        <w:br/>
      </w:r>
    </w:p>
    <w:p>
      <w:pPr>
        <w:pStyle w:val="Heading1"/>
      </w:pPr>
      <w:r>
        <w:t>II. Legal Mandate and Scope</w:t>
      </w:r>
    </w:p>
    <w:p>
      <w:r>
        <w:br/>
        <w:t>Under §651, every federal district court must implement a local ADR program and provide litigants with access to at least one ADR process, typically mediation, early neutral evaluation (ENE), or arbitration. The statute applies to most civil actions except habeas corpus or actions in which jurisdiction is vested exclusively in a federal tribunal.</w:t>
        <w:br/>
      </w:r>
    </w:p>
    <w:p>
      <w:pPr>
        <w:pStyle w:val="Heading1"/>
      </w:pPr>
      <w:r>
        <w:t>III. Functional Objectives of ADR under the Act</w:t>
      </w:r>
    </w:p>
    <w:p>
      <w:r>
        <w:br/>
        <w:t>1. Increase access to justice by providing time-efficient and cost-effective resolution mechanisms.</w:t>
        <w:br/>
        <w:t>2. Reduce court congestion by resolving matters pre-trial.</w:t>
        <w:br/>
        <w:t>3. Foster collaborative, non-adversarial outcomes that may preserve ongoing relationships between parties.</w:t>
        <w:br/>
        <w:t>4. Support judicial discretion to compel participation in ADR where appropriate.</w:t>
        <w:br/>
      </w:r>
    </w:p>
    <w:p>
      <w:pPr>
        <w:pStyle w:val="Heading1"/>
      </w:pPr>
      <w:r>
        <w:t>IV. Integration with District of Arizona Procedures</w:t>
      </w:r>
    </w:p>
    <w:p>
      <w:r>
        <w:br/>
        <w:t>The District of Arizona complies with the ADR Act through Local Rule LRCiv 16.2, which governs mediation and judicial settlement conferences. Judges may refer cases to ADR sua sponte or upon motion. Litigants are expected to comply with scheduling orders directing ADR involvement, and confidentiality is protected under local enforcement of §652(d).</w:t>
        <w:br/>
      </w:r>
    </w:p>
    <w:p>
      <w:pPr>
        <w:pStyle w:val="Heading1"/>
      </w:pPr>
      <w:r>
        <w:t>V. Procedural Framework</w:t>
      </w:r>
    </w:p>
    <w:p>
      <w:r>
        <w:br/>
        <w:t>- Initial Case Management: ADR evaluation discussed at Rule 26(f) conference.</w:t>
        <w:br/>
        <w:t>- Scheduling Order: Judges may designate deadlines for ADR referral.</w:t>
        <w:br/>
        <w:t>- Neutral Appointment: Parties may agree or court may assign certified mediators or evaluators.</w:t>
        <w:br/>
        <w:t>- Reporting and Confidentiality: Outcomes reported under §651(b), with confidentiality protected.</w:t>
        <w:br/>
      </w:r>
    </w:p>
    <w:p>
      <w:pPr>
        <w:pStyle w:val="Heading1"/>
      </w:pPr>
      <w:r>
        <w:t>VI. Ethical and Regulatory Implications</w:t>
      </w:r>
    </w:p>
    <w:p>
      <w:r>
        <w:br/>
        <w:t>- Confidentiality: Neutrals and parties are bound by strict confidentiality rules.</w:t>
        <w:br/>
        <w:t>- Good Faith Participation: While not always mandatory, courts may enforce participation where ordered.</w:t>
        <w:br/>
        <w:t>- Pro Se Considerations: The ADR framework must accommodate unrepresented parties through simplified protocols and clear notice.</w:t>
        <w:br/>
      </w:r>
    </w:p>
    <w:p>
      <w:pPr>
        <w:pStyle w:val="Heading1"/>
      </w:pPr>
      <w:r>
        <w:t>VII. Certification and Licensing Notice</w:t>
      </w:r>
    </w:p>
    <w:p>
      <w:r>
        <w:t>Signed: //s/JasonAJensen</w:t>
      </w:r>
    </w:p>
    <w:p>
      <w:r>
        <w:t>Generated by ChatGPT by OpenAI on May 18, 2025</w:t>
      </w:r>
    </w:p>
    <w:p>
      <w:r>
        <w:t>User is solely responsible for filing this document. If a licensed attorney files this document without independent review, it constitutes a violation of the Open Artificial Intelligence Regulatory Documents Licensing Agreement and the attorney forfeits further access to this playground.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