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i w:val="0"/>
          <w:color w:val="1b1c1d"/>
          <w:sz w:val="32"/>
          <w:szCs w:val="32"/>
        </w:rPr>
      </w:pPr>
      <w:r w:rsidDel="00000000" w:rsidR="00000000" w:rsidRPr="00000000">
        <w:rPr>
          <w:rFonts w:ascii="Google Sans" w:cs="Google Sans" w:eastAsia="Google Sans" w:hAnsi="Google Sans"/>
          <w:b w:val="1"/>
          <w:i w:val="0"/>
          <w:color w:val="1b1c1d"/>
          <w:sz w:val="32"/>
          <w:szCs w:val="32"/>
          <w:rtl w:val="0"/>
        </w:rPr>
        <w:t xml:space="preserve">Latin Evidence &amp; Proof Terms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Terms related to the presentation and nature of evidence and the burden of proof in court.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Prima Facie: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"On the face of it" or "at first sight." Refers to evidence that is sufficient to establish a fact or raise a presumption unless disproved.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Res Gestae: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"Things done." Spontaneous statements made during or immediately after an event, admissible as evidence as they are considered part of the event itself.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