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Property, Jurisdiction, &amp; Conflict of Laws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concerning location, ownership, where cases can be heard, and choice of laws when multiple jurisdictions are involved.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Bona Vacantia: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"Vacant goods." Ownerless goods or property, which typically passes to the Crown or state.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Forum Conveniens: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"Convenient forum." The principle that a court may decline to hear a case if there is a more appropriate court elsewhere.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Forum Non Conveniens: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"Inconvenient forum." The doctrine allowing a court to dismiss a case if the forum is inconvenient.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Personam: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"Against a person." Refers to a court's power to make a judgment that affects the legal rights of a specific person.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Rem: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"Against a thing." Refers to a court's power to make a judgment about a piece of property or status that affects the rights of all persons in respect to that property or status.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Inter Vivos: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"Between the living." Refers to transfers or gifts made between living persons.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Lex Domicilii: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"Law of the domicile." The law of the place where a person is domiciled, often relevant in matters of personal status or inheritance.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Lex Fori: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"Law of the forum." The law of the jurisdiction where the case is heard.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Lex Loci Delicti Commissi: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"Law of the place where the tort was committed." A rule used in conflict of laws to determine which jurisdiction's tort law applies.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Terra Nullius: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"Nobody's land." Land that is legally deemed to be unoccupied or unclaimed.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Uti Possidetis: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"As you possess." Principle in international law that territory and other property remain with the current possessor at the end of a conflict.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