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042" w:rsidRDefault="00DB1042">
      <w:pPr>
        <w:spacing w:after="1800"/>
      </w:pPr>
    </w:p>
    <w:p w:rsidR="00DB1042" w:rsidRDefault="00B93F27">
      <w:pPr>
        <w:spacing w:after="60"/>
        <w:jc w:val="center"/>
      </w:pPr>
      <w:r>
        <w:rPr>
          <w:b/>
          <w:bCs/>
          <w:color w:val="2E86C1"/>
          <w:spacing w:val="200"/>
          <w:sz w:val="18"/>
          <w:szCs w:val="18"/>
        </w:rPr>
        <w:t>FINAL YEAR PROJECT PROPOSAL</w:t>
      </w:r>
    </w:p>
    <w:p w:rsidR="00DB1042" w:rsidRDefault="00B93F27">
      <w:pPr>
        <w:spacing w:after="100"/>
        <w:jc w:val="center"/>
      </w:pPr>
      <w:r>
        <w:rPr>
          <w:b/>
          <w:bCs/>
          <w:color w:val="1B4F72"/>
          <w:sz w:val="52"/>
          <w:szCs w:val="52"/>
        </w:rPr>
        <w:t>CureFound</w:t>
      </w:r>
    </w:p>
    <w:p w:rsidR="00DB1042" w:rsidRDefault="00B93F27">
      <w:pPr>
        <w:pBdr>
          <w:top w:val="single" w:sz="3" w:space="12" w:color="2E86C1"/>
        </w:pBdr>
        <w:spacing w:after="200"/>
        <w:jc w:val="center"/>
      </w:pPr>
      <w:r>
        <w:rPr>
          <w:color w:val="5D6D7E"/>
          <w:sz w:val="24"/>
          <w:szCs w:val="24"/>
        </w:rPr>
        <w:t>Discovering Hidden Cures for Untreatable Diseases via Biomedical Knowledge Graph Intelligence</w:t>
      </w:r>
      <w:bookmarkStart w:id="0" w:name="_GoBack"/>
      <w:bookmarkEnd w:id="0"/>
    </w:p>
    <w:p w:rsidR="00DB1042" w:rsidRDefault="00B93F27">
      <w:pPr>
        <w:spacing w:after="60"/>
        <w:jc w:val="center"/>
      </w:pPr>
      <w:r>
        <w:rPr>
          <w:color w:val="1C2833"/>
        </w:rPr>
        <w:t>Muhammad Bilal  ·  Batool Fatima  ·  Moaz Nadeem</w:t>
      </w:r>
    </w:p>
    <w:p w:rsidR="00DB1042" w:rsidRDefault="00B93F27">
      <w:pPr>
        <w:spacing w:after="40"/>
        <w:jc w:val="center"/>
      </w:pPr>
      <w:r>
        <w:rPr>
          <w:color w:val="5D6D7E"/>
          <w:sz w:val="20"/>
          <w:szCs w:val="20"/>
        </w:rPr>
        <w:t>Department of Computer Science</w:t>
      </w:r>
    </w:p>
    <w:p w:rsidR="00DB1042" w:rsidRDefault="00B93F27">
      <w:pPr>
        <w:jc w:val="center"/>
      </w:pPr>
      <w:r>
        <w:rPr>
          <w:color w:val="5D6D7E"/>
          <w:sz w:val="20"/>
          <w:szCs w:val="20"/>
        </w:rPr>
        <w:t>Ghulam Ishaq Khan Institute of Engineering Sciences &amp; Technology</w:t>
      </w:r>
    </w:p>
    <w:p w:rsidR="00DB1042" w:rsidRDefault="00B93F27">
      <w:r>
        <w:br w:type="page"/>
      </w:r>
    </w:p>
    <w:p w:rsidR="00DB1042" w:rsidRDefault="00B93F27">
      <w:pPr>
        <w:pStyle w:val="Heading1"/>
        <w:spacing w:before="100"/>
      </w:pPr>
      <w:r>
        <w:lastRenderedPageBreak/>
        <w:t>1. Project Summary</w:t>
      </w:r>
    </w:p>
    <w:p w:rsidR="00DB1042" w:rsidRDefault="00B93F27">
      <w:pPr>
        <w:spacing w:after="140" w:line="276" w:lineRule="auto"/>
      </w:pPr>
      <w:r>
        <w:rPr>
          <w:color w:val="1C2833"/>
        </w:rPr>
        <w:t xml:space="preserve">CureFound builds a </w:t>
      </w:r>
      <w:r>
        <w:rPr>
          <w:b/>
          <w:bCs/>
          <w:color w:val="1C2833"/>
        </w:rPr>
        <w:t>biomedical knowledge graph</w:t>
      </w:r>
      <w:r>
        <w:rPr>
          <w:color w:val="1C2833"/>
        </w:rPr>
        <w:t xml:space="preserve"> connecting diseases, genes, proteins, drugs, biological pathways, and clinical symptoms from six major public databases. It </w:t>
      </w:r>
      <w:r>
        <w:rPr>
          <w:color w:val="1C2833"/>
        </w:rPr>
        <w:t xml:space="preserve">then trains </w:t>
      </w:r>
      <w:r>
        <w:rPr>
          <w:b/>
          <w:bCs/>
          <w:color w:val="1C2833"/>
        </w:rPr>
        <w:t>knowledge graph embedding models</w:t>
      </w:r>
      <w:r>
        <w:rPr>
          <w:color w:val="1C2833"/>
        </w:rPr>
        <w:t xml:space="preserve"> (TransE, RotatE, ComplEx) to predict which existing, approved drugs might treat rare diseases they were never designed for — a process called </w:t>
      </w:r>
      <w:r>
        <w:rPr>
          <w:b/>
          <w:bCs/>
          <w:color w:val="1C2833"/>
        </w:rPr>
        <w:t>drug repurposing.</w:t>
      </w:r>
    </w:p>
    <w:p w:rsidR="00DB1042" w:rsidRDefault="00B93F27">
      <w:pPr>
        <w:spacing w:after="140" w:line="276" w:lineRule="auto"/>
      </w:pPr>
      <w:r>
        <w:rPr>
          <w:color w:val="1C2833"/>
        </w:rPr>
        <w:t xml:space="preserve">The system also provides </w:t>
      </w:r>
      <w:r>
        <w:rPr>
          <w:b/>
          <w:bCs/>
          <w:color w:val="1C2833"/>
        </w:rPr>
        <w:t>diagnostic support:</w:t>
      </w:r>
      <w:r>
        <w:rPr>
          <w:color w:val="1C2833"/>
        </w:rPr>
        <w:t xml:space="preserve"> a clin</w:t>
      </w:r>
      <w:r>
        <w:rPr>
          <w:color w:val="1C2833"/>
        </w:rPr>
        <w:t>ician inputs unusual symptoms, and the system traverses the graph using multi-hop reasoning (Symptom → Gene → Pathway → Disease) to surface rare disease candidates the clinician may never have considered.</w:t>
      </w:r>
    </w:p>
    <w:p w:rsidR="00DB1042" w:rsidRDefault="00B93F27">
      <w:pPr>
        <w:spacing w:after="140" w:line="276" w:lineRule="auto"/>
      </w:pPr>
      <w:r>
        <w:rPr>
          <w:b/>
          <w:bCs/>
          <w:color w:val="1C2833"/>
        </w:rPr>
        <w:t xml:space="preserve">Why this matters: </w:t>
      </w:r>
      <w:r>
        <w:rPr>
          <w:color w:val="1C2833"/>
        </w:rPr>
        <w:t>There are ~7,000 rare diseases af</w:t>
      </w:r>
      <w:r>
        <w:rPr>
          <w:color w:val="1C2833"/>
        </w:rPr>
        <w:t xml:space="preserve">fecting 300 million people worldwide. 95% have zero approved treatment. Drug companies ignore them because small patient populations mean small profits. But clues about potential treatments already exist, scattered across disconnected databases. CureFound </w:t>
      </w:r>
      <w:r>
        <w:rPr>
          <w:color w:val="1C2833"/>
        </w:rPr>
        <w:t>connects those dots.</w:t>
      </w:r>
    </w:p>
    <w:p w:rsidR="00DB1042" w:rsidRDefault="00B93F27">
      <w:pPr>
        <w:pStyle w:val="Heading1"/>
      </w:pPr>
      <w:r>
        <w:t>2. System Architecture</w:t>
      </w:r>
    </w:p>
    <w:p w:rsidR="00DB1042" w:rsidRDefault="00B93F27">
      <w:pPr>
        <w:spacing w:after="140" w:line="276" w:lineRule="auto"/>
      </w:pPr>
      <w:r>
        <w:rPr>
          <w:color w:val="1C2833"/>
        </w:rPr>
        <w:t>CureFound is a 5-module pipeline. Data flows left to right:</w:t>
      </w:r>
    </w:p>
    <w:p w:rsidR="00DB1042" w:rsidRDefault="00B93F27">
      <w:pPr>
        <w:spacing w:after="80"/>
        <w:jc w:val="center"/>
      </w:pPr>
      <w:r>
        <w:rPr>
          <w:noProof/>
        </w:rPr>
        <w:drawing>
          <wp:inline distT="0" distB="0" distL="0" distR="0">
            <wp:extent cx="5905500" cy="1238250"/>
            <wp:effectExtent l="0" t="0" r="0" b="0"/>
            <wp:docPr id="1" name="pipeline" descr="System pipeline diagram" title="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042" w:rsidRDefault="00B93F27">
      <w:pPr>
        <w:spacing w:after="200"/>
        <w:jc w:val="center"/>
      </w:pPr>
      <w:r>
        <w:rPr>
          <w:i/>
          <w:iCs/>
          <w:color w:val="5D6D7E"/>
          <w:sz w:val="18"/>
          <w:szCs w:val="18"/>
        </w:rPr>
        <w:t>Figure 1: End-to-end system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 w:rsidR="00DB10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DB10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1C2833"/>
                <w:sz w:val="20"/>
                <w:szCs w:val="20"/>
              </w:rPr>
              <w:t>Data Ingestion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Custom ETL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Pulls structured data from OMIM, DrugBank, DisGeNET, KEGG, HPO, Orphanet. Harmonizes entity IDs to standard ontologies (MONDO, UniProt, MeSH).</w:t>
            </w:r>
          </w:p>
        </w:tc>
      </w:tr>
      <w:tr w:rsidR="00DB10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1C2833"/>
                <w:sz w:val="20"/>
                <w:szCs w:val="20"/>
              </w:rPr>
              <w:t>Literature NER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PubMedBERT + SetFit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Extracts drug/gene/disease entities from PubMed abstracts. SetFit handles rare disease-specific terms with just 10–20 examples. (Optional module — core pipeline works without it.)</w:t>
            </w:r>
          </w:p>
        </w:tc>
      </w:tr>
      <w:tr w:rsidR="00DB10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1C2833"/>
                <w:sz w:val="20"/>
                <w:szCs w:val="20"/>
              </w:rPr>
              <w:t>Knowledge Graph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Neo4j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Stores 500K+ nodes and 2M+ edges as a multi-relationa</w:t>
            </w:r>
            <w:r>
              <w:rPr>
                <w:color w:val="1C2833"/>
                <w:sz w:val="20"/>
                <w:szCs w:val="20"/>
              </w:rPr>
              <w:t>l graph with 6 node types (Disease, Gene, Protein, Drug, Pathway, Symptom) and 7+ relationship types.</w:t>
            </w:r>
          </w:p>
        </w:tc>
      </w:tr>
      <w:tr w:rsidR="00DB10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1C2833"/>
                <w:sz w:val="20"/>
                <w:szCs w:val="20"/>
              </w:rPr>
              <w:t>Embeddings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PyKEEN + FAISS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 xml:space="preserve">Trains TransE, RotatE, ComplEx, DistMult on the full graph. Entities that share pathways cluster together in embedding space — </w:t>
            </w:r>
            <w:r>
              <w:rPr>
                <w:color w:val="1C2833"/>
                <w:sz w:val="20"/>
                <w:szCs w:val="20"/>
              </w:rPr>
              <w:t>enabling link prediction for drug repurposing.</w:t>
            </w:r>
          </w:p>
        </w:tc>
      </w:tr>
      <w:tr w:rsidR="00DB104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1C2833"/>
                <w:sz w:val="20"/>
                <w:szCs w:val="20"/>
              </w:rPr>
              <w:t>Query Engine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FastAPI + React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 xml:space="preserve">Drug repurposing: input a disease, get ranked drug predictions with evidence chains. Diagnostic matching: input </w:t>
            </w:r>
            <w:r>
              <w:rPr>
                <w:color w:val="1C2833"/>
                <w:sz w:val="20"/>
                <w:szCs w:val="20"/>
              </w:rPr>
              <w:lastRenderedPageBreak/>
              <w:t>symptoms, get ranked rare disease candidates via FAISS + graph traversal.</w:t>
            </w:r>
          </w:p>
        </w:tc>
      </w:tr>
    </w:tbl>
    <w:p w:rsidR="00DB1042" w:rsidRDefault="00B93F27">
      <w:pPr>
        <w:pStyle w:val="Heading1"/>
      </w:pPr>
      <w:r>
        <w:lastRenderedPageBreak/>
        <w:t>3. Knowledge Graph Schema</w:t>
      </w:r>
    </w:p>
    <w:p w:rsidR="00DB1042" w:rsidRDefault="00B93F27">
      <w:pPr>
        <w:spacing w:after="140" w:line="276" w:lineRule="auto"/>
      </w:pPr>
      <w:r>
        <w:rPr>
          <w:color w:val="1C2833"/>
        </w:rPr>
        <w:t>The dashed line (</w:t>
      </w:r>
      <w:r>
        <w:rPr>
          <w:b/>
          <w:bCs/>
          <w:color w:val="1C2833"/>
        </w:rPr>
        <w:t>Drug → treats → Disease</w:t>
      </w:r>
      <w:r>
        <w:rPr>
          <w:color w:val="1C2833"/>
        </w:rPr>
        <w:t>) i</w:t>
      </w:r>
      <w:r>
        <w:rPr>
          <w:color w:val="1C2833"/>
        </w:rPr>
        <w:t>s the prediction target. All other relationships are evidence the model uses to infer that missing link.</w:t>
      </w:r>
    </w:p>
    <w:p w:rsidR="00DB1042" w:rsidRDefault="00B93F27">
      <w:pPr>
        <w:spacing w:after="80"/>
        <w:jc w:val="center"/>
      </w:pPr>
      <w:r>
        <w:rPr>
          <w:noProof/>
        </w:rPr>
        <w:drawing>
          <wp:inline distT="0" distB="0" distL="0" distR="0">
            <wp:extent cx="5334000" cy="1219200"/>
            <wp:effectExtent l="0" t="0" r="0" b="0"/>
            <wp:docPr id="2" name="schema" descr="Knowledge graph schema" title="KG 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042" w:rsidRDefault="00B93F27">
      <w:pPr>
        <w:spacing w:after="120"/>
        <w:jc w:val="center"/>
      </w:pPr>
      <w:r>
        <w:rPr>
          <w:i/>
          <w:iCs/>
          <w:color w:val="5D6D7E"/>
          <w:sz w:val="18"/>
          <w:szCs w:val="18"/>
        </w:rPr>
        <w:t>Figure 2: Knowledge graph schema — 6 entity types, 7 relationship types</w:t>
      </w:r>
    </w:p>
    <w:p w:rsidR="00DB1042" w:rsidRDefault="00B93F27">
      <w:pPr>
        <w:spacing w:after="140" w:line="276" w:lineRule="auto"/>
      </w:pPr>
      <w:r>
        <w:rPr>
          <w:b/>
          <w:bCs/>
          <w:color w:val="1C2833"/>
        </w:rPr>
        <w:t xml:space="preserve">How link prediction discovers drug candidates: </w:t>
      </w:r>
      <w:r>
        <w:rPr>
          <w:color w:val="1C2833"/>
        </w:rPr>
        <w:t>The embedding model learns that if a drug targets a protein in the same pathway disrupted by a rare disease’s causative gene, the drug and disease should be close in embedding space — even without a direct “treats” link.</w:t>
      </w:r>
    </w:p>
    <w:p w:rsidR="00DB1042" w:rsidRDefault="00B93F27">
      <w:pPr>
        <w:spacing w:after="80"/>
        <w:jc w:val="center"/>
      </w:pPr>
      <w:r>
        <w:rPr>
          <w:noProof/>
        </w:rPr>
        <w:drawing>
          <wp:inline distT="0" distB="0" distL="0" distR="0">
            <wp:extent cx="5334000" cy="914400"/>
            <wp:effectExtent l="0" t="0" r="0" b="0"/>
            <wp:docPr id="3" name="logic" descr="Drug repurposing logic" title="Repurposing Log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042" w:rsidRDefault="00B93F27">
      <w:pPr>
        <w:spacing w:after="200"/>
        <w:jc w:val="center"/>
      </w:pPr>
      <w:r>
        <w:rPr>
          <w:i/>
          <w:iCs/>
          <w:color w:val="5D6D7E"/>
          <w:sz w:val="18"/>
          <w:szCs w:val="18"/>
        </w:rPr>
        <w:t>Figure 3: Drug repurposing infere</w:t>
      </w:r>
      <w:r>
        <w:rPr>
          <w:i/>
          <w:iCs/>
          <w:color w:val="5D6D7E"/>
          <w:sz w:val="18"/>
          <w:szCs w:val="18"/>
        </w:rPr>
        <w:t>nce path (Niemann-Pick C example)</w:t>
      </w:r>
    </w:p>
    <w:p w:rsidR="00DB1042" w:rsidRDefault="00B93F27">
      <w:pPr>
        <w:pStyle w:val="Heading1"/>
      </w:pPr>
      <w:r>
        <w:t>4. Data Sources</w:t>
      </w:r>
    </w:p>
    <w:p w:rsidR="00DB1042" w:rsidRDefault="00B93F27">
      <w:pPr>
        <w:spacing w:after="140" w:line="276" w:lineRule="auto"/>
      </w:pPr>
      <w:r>
        <w:rPr>
          <w:b/>
          <w:bCs/>
          <w:color w:val="1C2833"/>
        </w:rPr>
        <w:t xml:space="preserve">All data is freely available </w:t>
      </w:r>
      <w:r>
        <w:rPr>
          <w:color w:val="1C2833"/>
        </w:rPr>
        <w:t>via public APIs or bulk downloads. No institutional partnerships, NDAs, or ethics approvals required.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2400"/>
        <w:gridCol w:w="2160"/>
      </w:tblGrid>
      <w:tr w:rsidR="00DB104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FFFFFF"/>
                <w:sz w:val="20"/>
                <w:szCs w:val="20"/>
              </w:rPr>
              <w:t>Provides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DB104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1C2833"/>
                <w:sz w:val="20"/>
                <w:szCs w:val="20"/>
              </w:rPr>
              <w:t>OMIM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Disease → Gene mappings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Gaucher → GBA gene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Free API</w:t>
            </w:r>
          </w:p>
        </w:tc>
      </w:tr>
      <w:tr w:rsidR="00DB104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1C2833"/>
                <w:sz w:val="20"/>
                <w:szCs w:val="20"/>
              </w:rPr>
              <w:t>DrugBank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Drug → Protein targets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Imatinib → BCR-ABL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Free (academic)</w:t>
            </w:r>
          </w:p>
        </w:tc>
      </w:tr>
      <w:tr w:rsidR="00DB104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1C2833"/>
                <w:sz w:val="20"/>
                <w:szCs w:val="20"/>
              </w:rPr>
              <w:t>DisGeNET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Gene → Disease associations + scores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BRCA2 → Fanconi (0.85)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Free API</w:t>
            </w:r>
          </w:p>
        </w:tc>
      </w:tr>
      <w:tr w:rsidR="00DB104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1C2833"/>
                <w:sz w:val="20"/>
                <w:szCs w:val="20"/>
              </w:rPr>
              <w:t>KEGG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Biological pathway maps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MAPK signaling pathway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Free API</w:t>
            </w:r>
          </w:p>
        </w:tc>
      </w:tr>
      <w:tr w:rsidR="00DB104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1C2833"/>
                <w:sz w:val="20"/>
                <w:szCs w:val="20"/>
              </w:rPr>
              <w:t>HPO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Standardized symptom terms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HP:0001250 = Seizures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Bulk download</w:t>
            </w:r>
          </w:p>
        </w:tc>
      </w:tr>
      <w:tr w:rsidR="00DB104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1C2833"/>
                <w:sz w:val="20"/>
                <w:szCs w:val="20"/>
              </w:rPr>
              <w:t>Orphanet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Rare disease classifications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Prevalence, inheritance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Bulk download</w:t>
            </w:r>
          </w:p>
        </w:tc>
      </w:tr>
      <w:tr w:rsidR="00DB104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1C2833"/>
                <w:sz w:val="20"/>
                <w:szCs w:val="20"/>
              </w:rPr>
              <w:t>PubMed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Biomedical literature (abstracts)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36M+ articles</w:t>
            </w:r>
          </w:p>
        </w:tc>
        <w:tc>
          <w:tcPr>
            <w:tcW w:w="2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Free API</w:t>
            </w:r>
          </w:p>
        </w:tc>
      </w:tr>
    </w:tbl>
    <w:p w:rsidR="00DB1042" w:rsidRDefault="00B93F27">
      <w:pPr>
        <w:pStyle w:val="Heading1"/>
      </w:pPr>
      <w:r>
        <w:t>5.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DB104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Component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DB104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Graph Database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1C2833"/>
                <w:sz w:val="20"/>
                <w:szCs w:val="20"/>
              </w:rPr>
              <w:t>Neo4j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Industry standard for knowledge graphs. Native Cypher queries. Free community edition.</w:t>
            </w:r>
          </w:p>
        </w:tc>
      </w:tr>
      <w:tr w:rsidR="00DB104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KG Embeddings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1C2833"/>
                <w:sz w:val="20"/>
                <w:szCs w:val="20"/>
              </w:rPr>
              <w:t>PyKEEN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30+ embedding models. Built-in evaluation (Hits@K, MRR). Runs on single GPU.</w:t>
            </w:r>
          </w:p>
        </w:tc>
      </w:tr>
      <w:tr w:rsidR="00DB104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Biomedical NER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1C2833"/>
                <w:sz w:val="20"/>
                <w:szCs w:val="20"/>
              </w:rPr>
              <w:t>PubMedBERT + SetFit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PubMedBERT for general biomedical entities. SetFit fine-tunes with 10–20 examples for niche rare disease terms.</w:t>
            </w:r>
          </w:p>
        </w:tc>
      </w:tr>
      <w:tr w:rsidR="00DB104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Similarity Search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1C2833"/>
                <w:sz w:val="20"/>
                <w:szCs w:val="20"/>
              </w:rPr>
              <w:t>FAISS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Sub-millisecond vector similarity for diagnostic phenotype matching.</w:t>
            </w:r>
          </w:p>
        </w:tc>
      </w:tr>
      <w:tr w:rsidR="00DB104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Backend / Frontend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b/>
                <w:bCs/>
                <w:color w:val="1C2833"/>
                <w:sz w:val="20"/>
                <w:szCs w:val="20"/>
              </w:rPr>
              <w:t>FastAPI + React</w:t>
            </w:r>
          </w:p>
        </w:tc>
        <w:tc>
          <w:tcPr>
            <w:tcW w:w="4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B1042" w:rsidRDefault="00B93F27">
            <w:r>
              <w:rPr>
                <w:color w:val="1C2833"/>
                <w:sz w:val="20"/>
                <w:szCs w:val="20"/>
              </w:rPr>
              <w:t>REST API + interactive graph visualization via D3.js.</w:t>
            </w:r>
          </w:p>
        </w:tc>
      </w:tr>
    </w:tbl>
    <w:p w:rsidR="00DB1042" w:rsidRDefault="00DB1042">
      <w:pPr>
        <w:spacing w:after="40"/>
      </w:pPr>
    </w:p>
    <w:p w:rsidR="00DB1042" w:rsidRDefault="00B93F27">
      <w:pPr>
        <w:spacing w:after="140" w:line="276" w:lineRule="auto"/>
      </w:pPr>
      <w:r>
        <w:rPr>
          <w:b/>
          <w:bCs/>
          <w:color w:val="1C2833"/>
        </w:rPr>
        <w:t xml:space="preserve">Compute: </w:t>
      </w:r>
      <w:r>
        <w:rPr>
          <w:color w:val="1C2833"/>
        </w:rPr>
        <w:t>Everything runs on Google Colab / Kaggle GPUs. PyKEEN trains on 500K-node graphs in hours on a single GPU. No enterprise compute needed.</w:t>
      </w:r>
    </w:p>
    <w:p w:rsidR="00DB1042" w:rsidRDefault="00B93F27">
      <w:pPr>
        <w:pStyle w:val="Heading1"/>
      </w:pPr>
      <w:r>
        <w:t>6. Evaluation</w:t>
      </w:r>
    </w:p>
    <w:p w:rsidR="00DB1042" w:rsidRDefault="00B93F27">
      <w:pPr>
        <w:spacing w:after="140" w:line="276" w:lineRule="auto"/>
      </w:pPr>
      <w:r>
        <w:rPr>
          <w:b/>
          <w:bCs/>
          <w:color w:val="1C2833"/>
        </w:rPr>
        <w:t>Drug Repurposing — Time-split validation</w:t>
      </w:r>
      <w:r>
        <w:rPr>
          <w:b/>
          <w:bCs/>
          <w:color w:val="1C2833"/>
        </w:rPr>
        <w:t xml:space="preserve">: </w:t>
      </w:r>
      <w:r>
        <w:rPr>
          <w:color w:val="1C2833"/>
        </w:rPr>
        <w:t>Build the graph using data before a cutoff (e.g., pre-2020). Remove post-cutoff Drug → treats → Disease links. Train on the pre-cutoff graph. Test: did the model predict relationships discovered after 2020? Metrics: Hits@1, Hits@10, MRR.</w:t>
      </w:r>
    </w:p>
    <w:p w:rsidR="00DB1042" w:rsidRDefault="00B93F27">
      <w:pPr>
        <w:spacing w:after="140" w:line="276" w:lineRule="auto"/>
      </w:pPr>
      <w:r>
        <w:rPr>
          <w:b/>
          <w:bCs/>
          <w:color w:val="1C2833"/>
        </w:rPr>
        <w:t>Diagnostic Match</w:t>
      </w:r>
      <w:r>
        <w:rPr>
          <w:b/>
          <w:bCs/>
          <w:color w:val="1C2833"/>
        </w:rPr>
        <w:t xml:space="preserve">ing: </w:t>
      </w:r>
      <w:r>
        <w:rPr>
          <w:color w:val="1C2833"/>
        </w:rPr>
        <w:t>Test against published rare disease case reports. Given presenting symptoms, does the system rank the correct disease in its Top-1, Top-5, or Top-10? Metric: MRR.</w:t>
      </w:r>
    </w:p>
    <w:p w:rsidR="00DB1042" w:rsidRDefault="00B93F27">
      <w:pPr>
        <w:spacing w:after="140" w:line="276" w:lineRule="auto"/>
      </w:pPr>
      <w:r>
        <w:rPr>
          <w:b/>
          <w:bCs/>
          <w:color w:val="1C2833"/>
        </w:rPr>
        <w:t xml:space="preserve">Baseline: </w:t>
      </w:r>
      <w:r>
        <w:rPr>
          <w:color w:val="1C2833"/>
        </w:rPr>
        <w:t>Benchmark against Hetionet (~47K nodes, 2.25M edges), a well-established biome</w:t>
      </w:r>
      <w:r>
        <w:rPr>
          <w:color w:val="1C2833"/>
        </w:rPr>
        <w:t>dical KG. Run the same link prediction task on both graphs for direct comparison.</w:t>
      </w:r>
    </w:p>
    <w:p w:rsidR="00DB1042" w:rsidRDefault="00B93F27" w:rsidP="00630338">
      <w:pPr>
        <w:spacing w:after="140" w:line="276" w:lineRule="auto"/>
      </w:pPr>
      <w:r>
        <w:rPr>
          <w:b/>
          <w:bCs/>
          <w:color w:val="1C2833"/>
        </w:rPr>
        <w:t xml:space="preserve">Focus disease cluster: </w:t>
      </w:r>
      <w:r>
        <w:rPr>
          <w:color w:val="1C2833"/>
        </w:rPr>
        <w:t>Lysosomal Storage Disorders (Gaucher, Fabry, Niemann-Pick, Pompe). Single-gene disorders with clean data, some existing treatments (positive labels), a</w:t>
      </w:r>
      <w:r>
        <w:rPr>
          <w:color w:val="1C2833"/>
        </w:rPr>
        <w:t>nd others with no treatment (prediction targets).</w:t>
      </w:r>
    </w:p>
    <w:sectPr w:rsidR="00DB1042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3F27" w:rsidRDefault="00B93F27">
      <w:r>
        <w:separator/>
      </w:r>
    </w:p>
  </w:endnote>
  <w:endnote w:type="continuationSeparator" w:id="0">
    <w:p w:rsidR="00B93F27" w:rsidRDefault="00B93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1042" w:rsidRDefault="00B93F27">
    <w:pPr>
      <w:pBdr>
        <w:top w:val="single" w:sz="1" w:space="6" w:color="D5D8DC"/>
      </w:pBdr>
      <w:jc w:val="center"/>
    </w:pPr>
    <w:r>
      <w:rPr>
        <w:color w:val="5D6D7E"/>
        <w:sz w:val="16"/>
        <w:szCs w:val="16"/>
      </w:rPr>
      <w:t xml:space="preserve">Page </w:t>
    </w:r>
    <w:r>
      <w:rPr>
        <w:color w:val="5D6D7E"/>
        <w:sz w:val="16"/>
        <w:szCs w:val="16"/>
      </w:rPr>
      <w:fldChar w:fldCharType="begin"/>
    </w:r>
    <w:r>
      <w:rPr>
        <w:color w:val="5D6D7E"/>
        <w:sz w:val="16"/>
        <w:szCs w:val="16"/>
      </w:rPr>
      <w:instrText>PAGE</w:instrText>
    </w:r>
    <w:r w:rsidR="00630338">
      <w:rPr>
        <w:color w:val="5D6D7E"/>
        <w:sz w:val="16"/>
        <w:szCs w:val="16"/>
      </w:rPr>
      <w:fldChar w:fldCharType="separate"/>
    </w:r>
    <w:r w:rsidR="00630338">
      <w:rPr>
        <w:noProof/>
        <w:color w:val="5D6D7E"/>
        <w:sz w:val="16"/>
        <w:szCs w:val="16"/>
      </w:rPr>
      <w:t>2</w:t>
    </w:r>
    <w:r>
      <w:rPr>
        <w:color w:val="5D6D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3F27" w:rsidRDefault="00B93F27">
      <w:r>
        <w:separator/>
      </w:r>
    </w:p>
  </w:footnote>
  <w:footnote w:type="continuationSeparator" w:id="0">
    <w:p w:rsidR="00B93F27" w:rsidRDefault="00B93F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1042" w:rsidRDefault="00B93F27">
    <w:pPr>
      <w:jc w:val="right"/>
    </w:pPr>
    <w:r>
      <w:rPr>
        <w:i/>
        <w:iCs/>
        <w:color w:val="5D6D7E"/>
        <w:sz w:val="16"/>
        <w:szCs w:val="16"/>
      </w:rPr>
      <w:t>CureFound — FYP Propos</w:t>
    </w:r>
    <w:r>
      <w:rPr>
        <w:i/>
        <w:iCs/>
        <w:color w:val="5D6D7E"/>
        <w:sz w:val="16"/>
        <w:szCs w:val="16"/>
      </w:rPr>
      <w:t>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A342DE"/>
    <w:multiLevelType w:val="hybridMultilevel"/>
    <w:tmpl w:val="0A0CCD2C"/>
    <w:lvl w:ilvl="0" w:tplc="983E0EFA">
      <w:start w:val="1"/>
      <w:numFmt w:val="bullet"/>
      <w:lvlText w:val="●"/>
      <w:lvlJc w:val="left"/>
      <w:pPr>
        <w:ind w:left="720" w:hanging="360"/>
      </w:pPr>
    </w:lvl>
    <w:lvl w:ilvl="1" w:tplc="CEE243C4">
      <w:start w:val="1"/>
      <w:numFmt w:val="bullet"/>
      <w:lvlText w:val="○"/>
      <w:lvlJc w:val="left"/>
      <w:pPr>
        <w:ind w:left="1440" w:hanging="360"/>
      </w:pPr>
    </w:lvl>
    <w:lvl w:ilvl="2" w:tplc="370A06C2">
      <w:start w:val="1"/>
      <w:numFmt w:val="bullet"/>
      <w:lvlText w:val="■"/>
      <w:lvlJc w:val="left"/>
      <w:pPr>
        <w:ind w:left="2160" w:hanging="360"/>
      </w:pPr>
    </w:lvl>
    <w:lvl w:ilvl="3" w:tplc="97AE58C4">
      <w:start w:val="1"/>
      <w:numFmt w:val="bullet"/>
      <w:lvlText w:val="●"/>
      <w:lvlJc w:val="left"/>
      <w:pPr>
        <w:ind w:left="2880" w:hanging="360"/>
      </w:pPr>
    </w:lvl>
    <w:lvl w:ilvl="4" w:tplc="C80ACDA8">
      <w:start w:val="1"/>
      <w:numFmt w:val="bullet"/>
      <w:lvlText w:val="○"/>
      <w:lvlJc w:val="left"/>
      <w:pPr>
        <w:ind w:left="3600" w:hanging="360"/>
      </w:pPr>
    </w:lvl>
    <w:lvl w:ilvl="5" w:tplc="3736A52A">
      <w:start w:val="1"/>
      <w:numFmt w:val="bullet"/>
      <w:lvlText w:val="■"/>
      <w:lvlJc w:val="left"/>
      <w:pPr>
        <w:ind w:left="4320" w:hanging="360"/>
      </w:pPr>
    </w:lvl>
    <w:lvl w:ilvl="6" w:tplc="AC42116C">
      <w:start w:val="1"/>
      <w:numFmt w:val="bullet"/>
      <w:lvlText w:val="●"/>
      <w:lvlJc w:val="left"/>
      <w:pPr>
        <w:ind w:left="5040" w:hanging="360"/>
      </w:pPr>
    </w:lvl>
    <w:lvl w:ilvl="7" w:tplc="9AEA91C6">
      <w:start w:val="1"/>
      <w:numFmt w:val="bullet"/>
      <w:lvlText w:val="●"/>
      <w:lvlJc w:val="left"/>
      <w:pPr>
        <w:ind w:left="5760" w:hanging="360"/>
      </w:pPr>
    </w:lvl>
    <w:lvl w:ilvl="8" w:tplc="D0445C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4F00FE"/>
    <w:multiLevelType w:val="hybridMultilevel"/>
    <w:tmpl w:val="754675A8"/>
    <w:lvl w:ilvl="0" w:tplc="26F62EBE">
      <w:start w:val="1"/>
      <w:numFmt w:val="bullet"/>
      <w:lvlText w:val="•"/>
      <w:lvlJc w:val="left"/>
      <w:pPr>
        <w:ind w:left="720" w:hanging="360"/>
      </w:pPr>
    </w:lvl>
    <w:lvl w:ilvl="1" w:tplc="AED0E52E">
      <w:numFmt w:val="decimal"/>
      <w:lvlText w:val=""/>
      <w:lvlJc w:val="left"/>
    </w:lvl>
    <w:lvl w:ilvl="2" w:tplc="AE1A8756">
      <w:numFmt w:val="decimal"/>
      <w:lvlText w:val=""/>
      <w:lvlJc w:val="left"/>
    </w:lvl>
    <w:lvl w:ilvl="3" w:tplc="90349A8A">
      <w:numFmt w:val="decimal"/>
      <w:lvlText w:val=""/>
      <w:lvlJc w:val="left"/>
    </w:lvl>
    <w:lvl w:ilvl="4" w:tplc="0F28E5F4">
      <w:numFmt w:val="decimal"/>
      <w:lvlText w:val=""/>
      <w:lvlJc w:val="left"/>
    </w:lvl>
    <w:lvl w:ilvl="5" w:tplc="56685432">
      <w:numFmt w:val="decimal"/>
      <w:lvlText w:val=""/>
      <w:lvlJc w:val="left"/>
    </w:lvl>
    <w:lvl w:ilvl="6" w:tplc="59520ABA">
      <w:numFmt w:val="decimal"/>
      <w:lvlText w:val=""/>
      <w:lvlJc w:val="left"/>
    </w:lvl>
    <w:lvl w:ilvl="7" w:tplc="F8267902">
      <w:numFmt w:val="decimal"/>
      <w:lvlText w:val=""/>
      <w:lvlJc w:val="left"/>
    </w:lvl>
    <w:lvl w:ilvl="8" w:tplc="CE120C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042"/>
    <w:rsid w:val="00630338"/>
    <w:rsid w:val="00B93F27"/>
    <w:rsid w:val="00DB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BDEC81-02DD-4BAE-8C2B-1FADDC5BB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16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1C2833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781</Words>
  <Characters>4452</Characters>
  <Application>Microsoft Office Word</Application>
  <DocSecurity>0</DocSecurity>
  <Lines>37</Lines>
  <Paragraphs>10</Paragraphs>
  <ScaleCrop>false</ScaleCrop>
  <Company>HP Inc.</Company>
  <LinksUpToDate>false</LinksUpToDate>
  <CharactersWithSpaces>5223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OGDCL</cp:lastModifiedBy>
  <cp:revision>2</cp:revision>
  <dcterms:created xsi:type="dcterms:W3CDTF">2026-02-25T11:45:00Z</dcterms:created>
  <dcterms:modified xsi:type="dcterms:W3CDTF">2026-02-25T11:59:00Z</dcterms:modified>
</cp:coreProperties>
</file>