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 análise da evolução do volume exportado em quilogramas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Destacam-se os seguintes países: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China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Tendência: </w:t>
      </w:r>
      <w:r w:rsidDel="00000000" w:rsidR="00000000" w:rsidRPr="00000000">
        <w:rPr>
          <w:rtl w:val="0"/>
        </w:rPr>
        <w:t xml:space="preserve">A China permanece como maior exportadora mundial, mas </w:t>
      </w:r>
      <w:r w:rsidDel="00000000" w:rsidR="00000000" w:rsidRPr="00000000">
        <w:rPr>
          <w:b w:val="1"/>
          <w:rtl w:val="0"/>
        </w:rPr>
        <w:t xml:space="preserve">vem enfrentando desaceleração no crescimento do volume exportado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Volume exportado</w:t>
      </w:r>
      <w:r w:rsidDel="00000000" w:rsidR="00000000" w:rsidRPr="00000000">
        <w:rPr>
          <w:rtl w:val="0"/>
        </w:rPr>
        <w:t xml:space="preserve">: Em 2024, a China exportou 466.835 toneladas, representando uma queda de 12,03% em relação a 2023.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Valor exportado</w:t>
      </w:r>
      <w:r w:rsidDel="00000000" w:rsidR="00000000" w:rsidRPr="00000000">
        <w:rPr>
          <w:rtl w:val="0"/>
        </w:rPr>
        <w:t xml:space="preserve">: US$ 61,65 milhões.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Preço médio por tonelada</w:t>
      </w:r>
      <w:r w:rsidDel="00000000" w:rsidR="00000000" w:rsidRPr="00000000">
        <w:rPr>
          <w:rtl w:val="0"/>
        </w:rPr>
        <w:t xml:space="preserve">: US$ 132.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Variação</w:t>
      </w:r>
      <w:r w:rsidDel="00000000" w:rsidR="00000000" w:rsidRPr="00000000">
        <w:rPr>
          <w:rtl w:val="0"/>
        </w:rPr>
        <w:t xml:space="preserve">: O volume diminuiu em 12,03% e o valor caiu em 11,81%, enquanto o preço médio aumentou ligeiramente em 0,25%.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Motivos: </w:t>
      </w:r>
      <w:r w:rsidDel="00000000" w:rsidR="00000000" w:rsidRPr="00000000">
        <w:rPr>
          <w:rtl w:val="0"/>
        </w:rPr>
        <w:t xml:space="preserve">Reestruturação interna do setor manufatureiro, pressões ambientais e mudança de foco para produtos de maior valor agregado, tensões comerciais com EUA e União Europeia.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zv2g2aiud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Estados Unidos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zh3hpy0kkj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Tendência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A economia americana mostra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resiliência pós-pandemia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com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aumento gradual nas exportações em peso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sobretudo de produtos industrializados e agrícolas.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mjp73vcfhl4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Volume exportado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20.560 toneladas em 2024, com um aumento de 5,14% em relação a 2023.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x5aceng85kv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Valor exportado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US$ 32,47 milhões.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uahyhsxr5ml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Preço médio por tonelada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US$ 1.579.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vp7xcrliaue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Variação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O volume cresceu 5,14%, o valor aumentou 2,03%, e o preço médio diminuiu 2,96%.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Motivos:</w:t>
      </w:r>
      <w:r w:rsidDel="00000000" w:rsidR="00000000" w:rsidRPr="00000000">
        <w:rPr>
          <w:rtl w:val="0"/>
        </w:rPr>
        <w:t xml:space="preserve"> Acordo com revisados (USMCA), aumento da demanda por tecnologia, incentivos fiscais.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/>
      </w:pPr>
      <w:bookmarkStart w:colFirst="0" w:colLast="0" w:name="_3wt6eiiqimn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Alemanha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drp866o8xcc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Tendência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A Alemanha, tradicional exportadora de bens de capital e automóveis, enfrenta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queda no volume exportado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devido à transformação energética e digital.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da7my3smcrt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Volume exportado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115.538 toneladas em 2024, representando uma queda de 6,53% em relação a 2023.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499x79685gs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Valor exportado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US$ 24,56 milhões.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6bv2ej9iupl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Preço médio por tonelada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US$ 213.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c2gu2ry3t2c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Variação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O volume diminuiu 6,53%, o valor caiu 11,24%, e o preço médio reduziu-se em 5,04%.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ywqc7u9ztwh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Motivos: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Transição de veículos elétricos, conflito na Ucrânia afetando a demanda da Europa Ocidental e adoção das políticas de descarbonização.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/>
      </w:pPr>
      <w:bookmarkStart w:colFirst="0" w:colLast="0" w:name="_zflj1rgsc5a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Espanha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nd298dures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Tendência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Forte queda no volume exportado, especialmente de produtos agrícolas e de baixo valor agregado.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uzpwsdnp1d4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Volume exportado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311.945 toneladas em 2024, com uma redução de 16,52% em relação a 2023.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35s41dbdjl7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Valor exportado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US$ 51,15 milhões.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3uxa1pem19j0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Preço médio por tonelada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US$ 153.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6i2j81uqqmp1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Variação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O volume diminuiu 16,52%, o valor caiu 10,69%, e o preço médio aumentou 7,12%.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epjjmh6zvhng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Motivos: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Condições climáticas afetando a produção, queda na demanda da Europa Ocidental e dependência de mercados internos europeus.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/>
      </w:pPr>
      <w:bookmarkStart w:colFirst="0" w:colLast="0" w:name="_y45uoyquuvke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y9yfhu3na9wu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Tendência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mantém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exportações fortes em setores farmacêutico e cosmético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, apesar da leve redução no peso exportado.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n86f06d8q5kk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Volume exportado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355.565 toneladas em 2024, apresentando uma queda de 2,35% em relação a 2023.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2hb415mhuhdw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Valor exportado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US$ 103,4 milhões.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3ld53wad1jmz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Preço médio por tonelada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US$ 291.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vnq1mc2b6br0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Variação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O volume diminuiu 2,35%, o valor aumentou 3,34%, e o preço médio subiu 5,83%. 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odyocnfb12kg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Motivos: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Fortalecimento de cadeias curtas e produção regional.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huiyiwr5wq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Fatores Globais que Influenciaram o Volume Exportado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Geopolítica</w:t>
      </w:r>
      <w:r w:rsidDel="00000000" w:rsidR="00000000" w:rsidRPr="00000000">
        <w:rPr>
          <w:rtl w:val="0"/>
        </w:rPr>
        <w:t xml:space="preserve">: Sanções, guerras (Ucrânia) e tensões comerciais reconfiguraram fluxos globais.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Cadeias produtivas</w:t>
      </w:r>
      <w:r w:rsidDel="00000000" w:rsidR="00000000" w:rsidRPr="00000000">
        <w:rPr>
          <w:rtl w:val="0"/>
        </w:rPr>
        <w:t xml:space="preserve">: Pós-COVID, muitos países optaram por encurtar cadeias, reduzindo importações.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Sustentabilidade</w:t>
      </w:r>
      <w:r w:rsidDel="00000000" w:rsidR="00000000" w:rsidRPr="00000000">
        <w:rPr>
          <w:rtl w:val="0"/>
        </w:rPr>
        <w:t xml:space="preserve">: Transição ecológica impulsionou políticas industriais locais e redução de transporte internacional.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Inflação e câmbio</w:t>
      </w:r>
      <w:r w:rsidDel="00000000" w:rsidR="00000000" w:rsidRPr="00000000">
        <w:rPr>
          <w:rtl w:val="0"/>
        </w:rPr>
        <w:t xml:space="preserve">: Flutuações de preços e desvalorização monetária afetaram a competitividade dos produtos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opu9g4ljs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Considerações Finais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Embora o volume exportado tenha diminuído em alguns países, o valor das exportações não acompanhou necessariamente essa tendência, indicando que o aumento nos preços médios por tonelada pode ter compensado a redução no volume. Além disso, destaca-se o crescimento significativo das exportações para mercados emergentes, como Kuwait, Vietnã, Arábia Saudita e Itália, refletindo uma diversificação nas rotas comerciais.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Brasil, como exportador de commodities, pode se beneficiar ao observar essas tendências e investir na industrialização com foco em valor agregado.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https://assimagra.pt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https://www.fecomercio.com.br/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https://www.wto.org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imagra.pt" TargetMode="External"/><Relationship Id="rId7" Type="http://schemas.openxmlformats.org/officeDocument/2006/relationships/hyperlink" Target="https://www.fecomercio.com.br/" TargetMode="External"/><Relationship Id="rId8" Type="http://schemas.openxmlformats.org/officeDocument/2006/relationships/hyperlink" Target="https://www.wt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