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sg7o2a73u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Análise da Evolução do Valor FOB dos 5 Principais Produtos Exportados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swz04vfpb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Soja em Grão (NCM 1201.90.00)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FOB médio: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2023: US$ 523/tonelada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2024: US$ 437/tonelada</w:t>
        <w:br w:type="textWrapping"/>
      </w:r>
      <w:r w:rsidDel="00000000" w:rsidR="00000000" w:rsidRPr="00000000">
        <w:rPr>
          <w:b w:val="1"/>
          <w:rtl w:val="0"/>
        </w:rPr>
        <w:t xml:space="preserve">Variação</w:t>
      </w:r>
      <w:r w:rsidDel="00000000" w:rsidR="00000000" w:rsidRPr="00000000">
        <w:rPr>
          <w:rtl w:val="0"/>
        </w:rPr>
        <w:t xml:space="preserve">: -16,4%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Análise:</w:t>
        <w:br w:type="textWrapping"/>
      </w:r>
      <w:r w:rsidDel="00000000" w:rsidR="00000000" w:rsidRPr="00000000">
        <w:rPr>
          <w:rtl w:val="0"/>
        </w:rPr>
        <w:t xml:space="preserve">A soja continua sendo o principal produto da pauta exportadora brasileira, representando mais de 13% do total exportado. A queda no valor FOB reflete um cenário global de </w:t>
      </w:r>
      <w:r w:rsidDel="00000000" w:rsidR="00000000" w:rsidRPr="00000000">
        <w:rPr>
          <w:b w:val="1"/>
          <w:rtl w:val="0"/>
        </w:rPr>
        <w:t xml:space="preserve">superoferta</w:t>
      </w:r>
      <w:r w:rsidDel="00000000" w:rsidR="00000000" w:rsidRPr="00000000">
        <w:rPr>
          <w:rtl w:val="0"/>
        </w:rPr>
        <w:t xml:space="preserve">, com safras recordes nos Estados Unidos, Brasil e Argentina, pressionando os preços internacionais. Além disso, a </w:t>
      </w:r>
      <w:r w:rsidDel="00000000" w:rsidR="00000000" w:rsidRPr="00000000">
        <w:rPr>
          <w:b w:val="1"/>
          <w:rtl w:val="0"/>
        </w:rPr>
        <w:t xml:space="preserve">desaceleração da economia chinesa</w:t>
      </w:r>
      <w:r w:rsidDel="00000000" w:rsidR="00000000" w:rsidRPr="00000000">
        <w:rPr>
          <w:rtl w:val="0"/>
        </w:rPr>
        <w:t xml:space="preserve">, principal destino da soja brasileira, afetou negativamente a demanda.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Perspectiva:</w:t>
      </w:r>
      <w:r w:rsidDel="00000000" w:rsidR="00000000" w:rsidRPr="00000000">
        <w:rPr>
          <w:rtl w:val="0"/>
        </w:rPr>
        <w:t xml:space="preserve"> A tendência de queda pode ser revertida caso haja problemas climáticos em grandes produtores ou um aumento da demanda por biocombustíveis à base de soja.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rhimwluch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Café Verde (NCM 0901.11.10)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FOB médio: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2023: US$ 3.456/tonelada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2024: US$ 3.700/tonelada</w:t>
        <w:br w:type="textWrapping"/>
      </w:r>
      <w:r w:rsidDel="00000000" w:rsidR="00000000" w:rsidRPr="00000000">
        <w:rPr>
          <w:b w:val="1"/>
          <w:rtl w:val="0"/>
        </w:rPr>
        <w:t xml:space="preserve">Variação</w:t>
      </w:r>
      <w:r w:rsidDel="00000000" w:rsidR="00000000" w:rsidRPr="00000000">
        <w:rPr>
          <w:rtl w:val="0"/>
        </w:rPr>
        <w:t xml:space="preserve">: +7,1%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Análise:</w:t>
        <w:br w:type="textWrapping"/>
      </w:r>
      <w:r w:rsidDel="00000000" w:rsidR="00000000" w:rsidRPr="00000000">
        <w:rPr>
          <w:rtl w:val="0"/>
        </w:rPr>
        <w:t xml:space="preserve">O café brasileiro é amplamente reconhecido pela sua qualidade e diversidade de tipos.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aumento no valor FOB reflete uma </w:t>
      </w:r>
      <w:r w:rsidDel="00000000" w:rsidR="00000000" w:rsidRPr="00000000">
        <w:rPr>
          <w:b w:val="1"/>
          <w:rtl w:val="0"/>
        </w:rPr>
        <w:t xml:space="preserve">valorização no mercado internacional</w:t>
      </w:r>
      <w:r w:rsidDel="00000000" w:rsidR="00000000" w:rsidRPr="00000000">
        <w:rPr>
          <w:rtl w:val="0"/>
        </w:rPr>
        <w:t xml:space="preserve">, impulsionada por: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Redução da oferta global devido a eventos climáticos adversos no Vietnã e Colômbia;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Crescimento da demanda por cafés especiais;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Câmbio favorável à exportação (real desvalorizado frente ao dólar).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Perspectiva:</w:t>
      </w:r>
      <w:r w:rsidDel="00000000" w:rsidR="00000000" w:rsidRPr="00000000">
        <w:rPr>
          <w:rtl w:val="0"/>
        </w:rPr>
        <w:t xml:space="preserve"> A consolidação de nichos de mercado premium e a certificação sustentável podem manter os preços em alta.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q8izymegt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Algodão em Pluma (NCM 5201.00.20)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FOB médio: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2023: US$ 1.200/tonelada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2024: US$ 2.500/tonelada</w:t>
        <w:br w:type="textWrapping"/>
      </w:r>
      <w:r w:rsidDel="00000000" w:rsidR="00000000" w:rsidRPr="00000000">
        <w:rPr>
          <w:b w:val="1"/>
          <w:rtl w:val="0"/>
        </w:rPr>
        <w:t xml:space="preserve">Variação</w:t>
      </w:r>
      <w:r w:rsidDel="00000000" w:rsidR="00000000" w:rsidRPr="00000000">
        <w:rPr>
          <w:rtl w:val="0"/>
        </w:rPr>
        <w:t xml:space="preserve">: +108,3%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Análise:</w:t>
        <w:br w:type="textWrapping"/>
      </w:r>
      <w:r w:rsidDel="00000000" w:rsidR="00000000" w:rsidRPr="00000000">
        <w:rPr>
          <w:rtl w:val="0"/>
        </w:rPr>
        <w:t xml:space="preserve">Esse é o produto com maior variação positiva de valor FOB. Isso se deve a: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Problemas de produção em países asiáticos</w:t>
      </w:r>
      <w:r w:rsidDel="00000000" w:rsidR="00000000" w:rsidRPr="00000000">
        <w:rPr>
          <w:rtl w:val="0"/>
        </w:rPr>
        <w:t xml:space="preserve">, como Índia e Paquistão, devido à seca;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Fortalecimento da imagem do Brasil como </w:t>
      </w:r>
      <w:r w:rsidDel="00000000" w:rsidR="00000000" w:rsidRPr="00000000">
        <w:rPr>
          <w:b w:val="1"/>
          <w:rtl w:val="0"/>
        </w:rPr>
        <w:t xml:space="preserve">produtor sustentável e de alta produtividade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Incentivos à exportação pelo setor agrícola, com apoio de políticas do MAPA e do Mapa Agro+.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Perspectiva:</w:t>
      </w:r>
      <w:r w:rsidDel="00000000" w:rsidR="00000000" w:rsidRPr="00000000">
        <w:rPr>
          <w:rtl w:val="0"/>
        </w:rPr>
        <w:t xml:space="preserve"> A tendência é de estabilidade em níveis elevados, especialmente com o avanço da moda sustentável e de matéria-prima rastreável.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y2612f5se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Açúcar de Cana (NCM 1701.99.00)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FOB médio: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2023: US$ 502/tonelada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2024: US$ 500/tonelada</w:t>
        <w:br w:type="textWrapping"/>
      </w:r>
      <w:r w:rsidDel="00000000" w:rsidR="00000000" w:rsidRPr="00000000">
        <w:rPr>
          <w:b w:val="1"/>
          <w:rtl w:val="0"/>
        </w:rPr>
        <w:t xml:space="preserve">Variação</w:t>
      </w:r>
      <w:r w:rsidDel="00000000" w:rsidR="00000000" w:rsidRPr="00000000">
        <w:rPr>
          <w:rtl w:val="0"/>
        </w:rPr>
        <w:t xml:space="preserve">: -0,4%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Análise:</w:t>
        <w:br w:type="textWrapping"/>
      </w:r>
      <w:r w:rsidDel="00000000" w:rsidR="00000000" w:rsidRPr="00000000">
        <w:rPr>
          <w:rtl w:val="0"/>
        </w:rPr>
        <w:t xml:space="preserve">Apesar de sua importância histórica, o açúcar apresenta </w:t>
      </w:r>
      <w:r w:rsidDel="00000000" w:rsidR="00000000" w:rsidRPr="00000000">
        <w:rPr>
          <w:b w:val="1"/>
          <w:rtl w:val="0"/>
        </w:rPr>
        <w:t xml:space="preserve">valor FOB praticamente estável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oscilação nos preços internacionais é influenciada por: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Produção global regulada por Índia, Tailândia e Brasil;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Concorrência crescente de adoçantes artificiais e alimentos de baixo teor de açúcar;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Conflitos logísticos no Mar Vermelho e no Canal de Suez que afetam prazos de entrega.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Perspectiva:</w:t>
      </w:r>
      <w:r w:rsidDel="00000000" w:rsidR="00000000" w:rsidRPr="00000000">
        <w:rPr>
          <w:rtl w:val="0"/>
        </w:rPr>
        <w:t xml:space="preserve"> A médio prazo, os preços devem seguir estáveis, com possível valorização se a Índia reduzir sua produção ou suas exportações por questões internas.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h2m9ewgja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Carnes Desossadas de Bovino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FOB médio: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2023: US$ 4.734/tonelada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2024: US$ 4.505/tonelada</w:t>
        <w:br w:type="textWrapping"/>
      </w:r>
      <w:r w:rsidDel="00000000" w:rsidR="00000000" w:rsidRPr="00000000">
        <w:rPr>
          <w:b w:val="1"/>
          <w:rtl w:val="0"/>
        </w:rPr>
        <w:t xml:space="preserve">Variação</w:t>
      </w:r>
      <w:r w:rsidDel="00000000" w:rsidR="00000000" w:rsidRPr="00000000">
        <w:rPr>
          <w:rtl w:val="0"/>
        </w:rPr>
        <w:t xml:space="preserve">: -4,8%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Brasil é o </w:t>
      </w:r>
      <w:r w:rsidDel="00000000" w:rsidR="00000000" w:rsidRPr="00000000">
        <w:rPr>
          <w:b w:val="1"/>
          <w:rtl w:val="0"/>
        </w:rPr>
        <w:t xml:space="preserve">maior exportador de carne bovina do mundo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 leve queda no valor FOB é atribuída à: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Redução da demanda chinesa após o controle da inflação alimentar;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Abertura de novos mercados com menor poder de compra (Oriente Médio, África);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Competição de países como Austrália e Índia.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Apesar da queda no valor, o </w:t>
      </w:r>
      <w:r w:rsidDel="00000000" w:rsidR="00000000" w:rsidRPr="00000000">
        <w:rPr>
          <w:b w:val="1"/>
          <w:rtl w:val="0"/>
        </w:rPr>
        <w:t xml:space="preserve">volume exportado aumentou</w:t>
      </w:r>
      <w:r w:rsidDel="00000000" w:rsidR="00000000" w:rsidRPr="00000000">
        <w:rPr>
          <w:rtl w:val="0"/>
        </w:rPr>
        <w:t xml:space="preserve">, o que compensou parcialmente a queda nas receitas.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Perspectiva:</w:t>
      </w:r>
      <w:r w:rsidDel="00000000" w:rsidR="00000000" w:rsidRPr="00000000">
        <w:rPr>
          <w:rtl w:val="0"/>
        </w:rPr>
        <w:t xml:space="preserve"> Há oportunidades para crescimento em mercados como Indonésia, Egito e México. A melhoria da rastreabilidade e sustentabilidade será chave para manter ou elevar os preços médios.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nobvccq63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Fatores que Impactam o Valor FOB no Brasil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Câmbio</w:t>
      </w:r>
      <w:r w:rsidDel="00000000" w:rsidR="00000000" w:rsidRPr="00000000">
        <w:rPr>
          <w:rtl w:val="0"/>
        </w:rPr>
        <w:t xml:space="preserve">: A desvalorização do real torna os produtos brasileiros mais competitivos, mas também pressiona os insumos importados.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Infraestrutura</w:t>
      </w:r>
      <w:r w:rsidDel="00000000" w:rsidR="00000000" w:rsidRPr="00000000">
        <w:rPr>
          <w:rtl w:val="0"/>
        </w:rPr>
        <w:t xml:space="preserve">: Gargalos logísticos e custos portuários ainda reduzem o potencial de ganho no valor FOB.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Sustentabilidade</w:t>
      </w:r>
      <w:r w:rsidDel="00000000" w:rsidR="00000000" w:rsidRPr="00000000">
        <w:rPr>
          <w:rtl w:val="0"/>
        </w:rPr>
        <w:t xml:space="preserve">: Produtos com rastreabilidade e certificação ambiental têm tido maior valorização nos mercados da Europa e Ásia.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Diversificação de Mercados</w:t>
      </w:r>
      <w:r w:rsidDel="00000000" w:rsidR="00000000" w:rsidRPr="00000000">
        <w:rPr>
          <w:rtl w:val="0"/>
        </w:rPr>
        <w:t xml:space="preserve">: A abertura de novos mercados, como Vietnã, Irã e Indonésia, permite melhor posicionamento de produtos com menor preço.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ffyssnty1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análise da evolução do valor FOB dos principais produtos brasileiros mostra que o país ainda depende fortemente de commodities, mas já apresenta sinais de sofisticação em setores como café e algodão. Para aumentar o valor exportado por tonelada, o Brasil deve: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Investir em </w:t>
      </w:r>
      <w:r w:rsidDel="00000000" w:rsidR="00000000" w:rsidRPr="00000000">
        <w:rPr>
          <w:b w:val="1"/>
          <w:rtl w:val="0"/>
        </w:rPr>
        <w:t xml:space="preserve">tecnologia e inovação no agro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Aumentar o </w:t>
      </w:r>
      <w:r w:rsidDel="00000000" w:rsidR="00000000" w:rsidRPr="00000000">
        <w:rPr>
          <w:b w:val="1"/>
          <w:rtl w:val="0"/>
        </w:rPr>
        <w:t xml:space="preserve">valor agregado e a rastreabilidade</w:t>
      </w:r>
      <w:r w:rsidDel="00000000" w:rsidR="00000000" w:rsidRPr="00000000">
        <w:rPr>
          <w:rtl w:val="0"/>
        </w:rPr>
        <w:t xml:space="preserve"> dos produtos;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Melhorar a </w:t>
      </w:r>
      <w:r w:rsidDel="00000000" w:rsidR="00000000" w:rsidRPr="00000000">
        <w:rPr>
          <w:b w:val="1"/>
          <w:rtl w:val="0"/>
        </w:rPr>
        <w:t xml:space="preserve">logística portuária e alfandegária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Ampliar e diversificar acordos comerciais com países de alta renda.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0"/>
          <w:numId w:val="10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aikniadqh6h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Fontes: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53.4545454545455" w:lineRule="auto"/>
        <w:rPr>
          <w:color w:val="1155cc"/>
          <w:sz w:val="21"/>
          <w:szCs w:val="21"/>
          <w:u w:val="single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https://www.fecomercio.com.br/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80" w:before="180" w:line="331.2" w:lineRule="auto"/>
        <w:rPr>
          <w:color w:val="1155cc"/>
          <w:sz w:val="21"/>
          <w:szCs w:val="21"/>
          <w:u w:val="single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https://municipios.seade.gov.br/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80" w:before="180" w:line="331.2" w:lineRule="auto"/>
        <w:rPr>
          <w:color w:val="1155cc"/>
          <w:sz w:val="21"/>
          <w:szCs w:val="21"/>
          <w:u w:val="single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https://en.logcomex.com/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80" w:before="180" w:line="331.2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https://www.gov.br/mdic/pt-br</w:t>
      </w:r>
    </w:p>
    <w:p w:rsidR="00000000" w:rsidDel="00000000" w:rsidP="00000000" w:rsidRDefault="00000000" w:rsidRPr="00000000" w14:paraId="0000004A">
      <w:pPr>
        <w:spacing w:after="180" w:before="180" w:line="331.2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ecomercio.com.br/" TargetMode="External"/><Relationship Id="rId7" Type="http://schemas.openxmlformats.org/officeDocument/2006/relationships/hyperlink" Target="https://municipios.seade.gov.br/" TargetMode="External"/><Relationship Id="rId8" Type="http://schemas.openxmlformats.org/officeDocument/2006/relationships/hyperlink" Target="https://en.logcom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