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E86C1"/>
          <w:sz w:val="28"/>
          <w:szCs w:val="28"/>
        </w:rPr>
        <w:t xml:space="preserve">UTBILDNINGSMATERIAL</w:t>
      </w:r>
    </w:p>
    <w:p>
      <w:pPr>
        <w:spacing w:after="100"/>
        <w:jc w:val="center"/>
      </w:pPr>
      <w:r>
        <w:rPr>
          <w:rFonts w:ascii="Arial" w:cs="Arial" w:eastAsia="Arial" w:hAnsi="Arial"/>
          <w:b/>
          <w:bCs/>
          <w:color w:val="1B4F72"/>
          <w:sz w:val="56"/>
          <w:szCs w:val="56"/>
        </w:rPr>
        <w:t xml:space="preserve">DOMARE I HANDBOLL</w:t>
      </w:r>
    </w:p>
    <w:p>
      <w:pPr>
        <w:spacing w:after="100"/>
        <w:jc w:val="center"/>
      </w:pPr>
      <w:r>
        <w:rPr>
          <w:rFonts w:ascii="Arial" w:cs="Arial" w:eastAsia="Arial" w:hAnsi="Arial"/>
          <w:color w:val="2E86C1"/>
          <w:sz w:val="32"/>
          <w:szCs w:val="32"/>
        </w:rPr>
        <w:t xml:space="preserve">Svenska regler – Alla nivåer</w:t>
      </w:r>
    </w:p>
    <w:p>
      <w:pPr>
        <w:spacing w:after="600"/>
        <w:jc w:val="center"/>
      </w:pPr>
      <w:r>
        <w:rPr>
          <w:rFonts w:ascii="Arial" w:cs="Arial" w:eastAsia="Arial" w:hAnsi="Arial"/>
          <w:i/>
          <w:iCs/>
          <w:color w:val="666666"/>
          <w:sz w:val="24"/>
          <w:szCs w:val="24"/>
        </w:rPr>
        <w:t xml:space="preserve">Från minihandboll till elithandboll</w:t>
      </w:r>
    </w:p>
    <w:p>
      <w:pPr>
        <w:spacing w:before="1000"/>
        <w:jc w:val="center"/>
      </w:pPr>
      <w:r>
        <w:rPr>
          <w:rFonts w:ascii="Arial" w:cs="Arial" w:eastAsia="Arial" w:hAnsi="Arial"/>
          <w:color w:val="888888"/>
          <w:sz w:val="22"/>
          <w:szCs w:val="22"/>
        </w:rPr>
        <w:t xml:space="preserve">Researchunderlag för utbildningsutveckling</w:t>
      </w:r>
    </w:p>
    <w:p>
      <w:pPr>
        <w:jc w:val="center"/>
      </w:pPr>
      <w:r>
        <w:rPr>
          <w:rFonts w:ascii="Arial" w:cs="Arial" w:eastAsia="Arial" w:hAnsi="Arial"/>
          <w:color w:val="888888"/>
          <w:sz w:val="22"/>
          <w:szCs w:val="22"/>
        </w:rPr>
        <w:t xml:space="preserve">Baserat på Svenska Handbollförbundets (SHF) regelverk 2024–2025</w:t>
      </w:r>
    </w:p>
    <w:p>
      <w:pPr>
        <w:spacing w:before="200"/>
        <w:jc w:val="center"/>
      </w:pPr>
      <w:r>
        <w:rPr>
          <w:rFonts w:ascii="Arial" w:cs="Arial" w:eastAsia="Arial" w:hAnsi="Arial"/>
          <w:color w:val="888888"/>
          <w:sz w:val="22"/>
          <w:szCs w:val="22"/>
        </w:rPr>
        <w:t xml:space="preserve">Februari 2026</w:t>
      </w:r>
    </w:p>
    <w:p>
      <w:pPr>
        <w:sectPr>
          <w:pgSz w:w="11906" w:h="16838" w:orient="portrait"/>
          <w:pgMar w:top="1440" w:right="1440" w:bottom="1440" w:left="1440" w:header="708" w:footer="708" w:gutter="0"/>
          <w:pgNumType/>
          <w:docGrid w:linePitch="360"/>
        </w:sectPr>
      </w:pPr>
    </w:p>
    <w:p>
      <w:pPr>
        <w:pStyle w:val="Heading1"/>
      </w:pPr>
      <w:r>
        <w:t xml:space="preserve">1. Inledning och syfte</w:t>
      </w:r>
    </w:p>
    <w:p>
      <w:pPr>
        <w:spacing w:after="120"/>
      </w:pPr>
      <w:r>
        <w:rPr>
          <w:rFonts w:ascii="Arial" w:cs="Arial" w:eastAsia="Arial" w:hAnsi="Arial"/>
          <w:sz w:val="22"/>
          <w:szCs w:val="22"/>
        </w:rPr>
        <w:t xml:space="preserve">Detta dokument sammanställer allt väsentligt material som behövs för att bygga en komplett domarutbildning i svensk handboll. Materialet täcker alla nivåer, från barnhandboll (U7) till elithandboll (HBL), och är baserat på Svenska Handbollförbundets (SHF) officiella källor, regelbok, tävlingsbestammelser och utbildningsstrukturer.</w:t>
      </w:r>
    </w:p>
    <w:p>
      <w:pPr>
        <w:spacing w:after="120"/>
      </w:pPr>
      <w:r>
        <w:rPr>
          <w:rFonts w:ascii="Arial" w:cs="Arial" w:eastAsia="Arial" w:hAnsi="Arial"/>
          <w:sz w:val="22"/>
          <w:szCs w:val="22"/>
        </w:rPr>
        <w:t xml:space="preserve">Dokumentet är uppdelat i följande huvudområden:</w:t>
      </w:r>
    </w:p>
    <w:p>
      <w:pPr>
        <w:pStyle w:val="ListParagraph"/>
        <w:numPr>
          <w:ilvl w:val="0"/>
          <w:numId w:val="2"/>
        </w:numPr>
        <w:spacing w:after="60"/>
      </w:pPr>
      <w:r>
        <w:rPr>
          <w:rFonts w:ascii="Arial" w:cs="Arial" w:eastAsia="Arial" w:hAnsi="Arial"/>
          <w:sz w:val="22"/>
          <w:szCs w:val="22"/>
        </w:rPr>
        <w:t xml:space="preserve">SHF:s befintliga utbildningsstruktur (DU1–DU8)</w:t>
      </w:r>
    </w:p>
    <w:p>
      <w:pPr>
        <w:pStyle w:val="ListParagraph"/>
        <w:numPr>
          <w:ilvl w:val="0"/>
          <w:numId w:val="2"/>
        </w:numPr>
        <w:spacing w:after="60"/>
      </w:pPr>
      <w:r>
        <w:rPr>
          <w:rFonts w:ascii="Arial" w:cs="Arial" w:eastAsia="Arial" w:hAnsi="Arial"/>
          <w:sz w:val="22"/>
          <w:szCs w:val="22"/>
        </w:rPr>
        <w:t xml:space="preserve">Spelregler (Regel 1–18) med domarfokus</w:t>
      </w:r>
    </w:p>
    <w:p>
      <w:pPr>
        <w:pStyle w:val="ListParagraph"/>
        <w:numPr>
          <w:ilvl w:val="0"/>
          <w:numId w:val="2"/>
        </w:numPr>
        <w:spacing w:after="60"/>
      </w:pPr>
      <w:r>
        <w:rPr>
          <w:rFonts w:ascii="Arial" w:cs="Arial" w:eastAsia="Arial" w:hAnsi="Arial"/>
          <w:sz w:val="22"/>
          <w:szCs w:val="22"/>
        </w:rPr>
        <w:t xml:space="preserve">Särskilda regler för barnhandboll och minihandboll</w:t>
      </w:r>
    </w:p>
    <w:p>
      <w:pPr>
        <w:pStyle w:val="ListParagraph"/>
        <w:numPr>
          <w:ilvl w:val="0"/>
          <w:numId w:val="2"/>
        </w:numPr>
        <w:spacing w:after="60"/>
      </w:pPr>
      <w:r>
        <w:rPr>
          <w:rFonts w:ascii="Arial" w:cs="Arial" w:eastAsia="Arial" w:hAnsi="Arial"/>
          <w:sz w:val="22"/>
          <w:szCs w:val="22"/>
        </w:rPr>
        <w:t xml:space="preserve">Domartecken</w:t>
      </w:r>
    </w:p>
    <w:p>
      <w:pPr>
        <w:pStyle w:val="ListParagraph"/>
        <w:numPr>
          <w:ilvl w:val="0"/>
          <w:numId w:val="2"/>
        </w:numPr>
        <w:spacing w:after="60"/>
      </w:pPr>
      <w:r>
        <w:rPr>
          <w:rFonts w:ascii="Arial" w:cs="Arial" w:eastAsia="Arial" w:hAnsi="Arial"/>
          <w:sz w:val="22"/>
          <w:szCs w:val="22"/>
        </w:rPr>
        <w:t xml:space="preserve">Domarens rörelsemönster och positionering</w:t>
      </w:r>
    </w:p>
    <w:p>
      <w:pPr>
        <w:pStyle w:val="ListParagraph"/>
        <w:numPr>
          <w:ilvl w:val="0"/>
          <w:numId w:val="2"/>
        </w:numPr>
        <w:spacing w:after="60"/>
      </w:pPr>
      <w:r>
        <w:rPr>
          <w:rFonts w:ascii="Arial" w:cs="Arial" w:eastAsia="Arial" w:hAnsi="Arial"/>
          <w:sz w:val="22"/>
          <w:szCs w:val="22"/>
        </w:rPr>
        <w:t xml:space="preserve">Bestraffningssystemet</w:t>
      </w:r>
    </w:p>
    <w:p>
      <w:pPr>
        <w:pStyle w:val="ListParagraph"/>
        <w:numPr>
          <w:ilvl w:val="0"/>
          <w:numId w:val="2"/>
        </w:numPr>
        <w:spacing w:after="60"/>
      </w:pPr>
      <w:r>
        <w:rPr>
          <w:rFonts w:ascii="Arial" w:cs="Arial" w:eastAsia="Arial" w:hAnsi="Arial"/>
          <w:sz w:val="22"/>
          <w:szCs w:val="22"/>
        </w:rPr>
        <w:t xml:space="preserve">Passivt spel</w:t>
      </w:r>
    </w:p>
    <w:p>
      <w:pPr>
        <w:pStyle w:val="ListParagraph"/>
        <w:numPr>
          <w:ilvl w:val="0"/>
          <w:numId w:val="2"/>
        </w:numPr>
        <w:spacing w:after="60"/>
      </w:pPr>
      <w:r>
        <w:rPr>
          <w:rFonts w:ascii="Arial" w:cs="Arial" w:eastAsia="Arial" w:hAnsi="Arial"/>
          <w:sz w:val="22"/>
          <w:szCs w:val="22"/>
        </w:rPr>
        <w:t xml:space="preserve">Matchadministration, funktionarer och EMP</w:t>
      </w:r>
    </w:p>
    <w:p>
      <w:pPr>
        <w:pStyle w:val="ListParagraph"/>
        <w:numPr>
          <w:ilvl w:val="0"/>
          <w:numId w:val="2"/>
        </w:numPr>
        <w:spacing w:after="60"/>
      </w:pPr>
      <w:r>
        <w:rPr>
          <w:rFonts w:ascii="Arial" w:cs="Arial" w:eastAsia="Arial" w:hAnsi="Arial"/>
          <w:sz w:val="22"/>
          <w:szCs w:val="22"/>
        </w:rPr>
        <w:t xml:space="preserve">Fysiska krav</w:t>
      </w:r>
    </w:p>
    <w:p>
      <w:pPr>
        <w:pStyle w:val="ListParagraph"/>
        <w:numPr>
          <w:ilvl w:val="0"/>
          <w:numId w:val="2"/>
        </w:numPr>
        <w:spacing w:after="60"/>
      </w:pPr>
      <w:r>
        <w:rPr>
          <w:rFonts w:ascii="Arial" w:cs="Arial" w:eastAsia="Arial" w:hAnsi="Arial"/>
          <w:sz w:val="22"/>
          <w:szCs w:val="22"/>
        </w:rPr>
        <w:t xml:space="preserve">Mentorsskap och domarutveckling</w:t>
      </w:r>
    </w:p>
    <w:p>
      <w:pPr>
        <w:pStyle w:val="ListParagraph"/>
        <w:numPr>
          <w:ilvl w:val="0"/>
          <w:numId w:val="2"/>
        </w:numPr>
        <w:spacing w:after="60"/>
      </w:pPr>
      <w:r>
        <w:rPr>
          <w:rFonts w:ascii="Arial" w:cs="Arial" w:eastAsia="Arial" w:hAnsi="Arial"/>
          <w:sz w:val="22"/>
          <w:szCs w:val="22"/>
        </w:rPr>
        <w:t xml:space="preserve">Källor och länkar</w:t>
      </w:r>
    </w:p>
    <w:p>
      <w:pPr>
        <w:pStyle w:val="Heading1"/>
      </w:pPr>
      <w:r>
        <w:t xml:space="preserve">2. SHF:s domarutbildningsstruktur</w:t>
      </w:r>
    </w:p>
    <w:p>
      <w:pPr>
        <w:spacing w:after="120"/>
      </w:pPr>
      <w:r>
        <w:rPr>
          <w:rFonts w:ascii="Arial" w:cs="Arial" w:eastAsia="Arial" w:hAnsi="Arial"/>
          <w:sz w:val="22"/>
          <w:szCs w:val="22"/>
        </w:rPr>
        <w:t xml:space="preserve">Svenska Handbollförbundet använder en stegutbildning med 8 nivåer (DU1–DU8). Utbildningen är delvis digital via Kunskapsarenan (kunskapsarenan.se) och delvis fysisk. Varje steg ger behörighet att döma på en viss nivå. Systemet implementerades fullt ut inför säsongen 2020/2021.</w:t>
      </w:r>
    </w:p>
    <w:p>
      <w:pPr>
        <w:pStyle w:val="Heading2"/>
      </w:pPr>
      <w:r>
        <w:t xml:space="preserve">2.1 Översikt: Utbildningsstegen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1800"/>
        <w:gridCol w:w="1526"/>
      </w:tblGrid>
      <w:tr>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Steg</w:t>
            </w:r>
          </w:p>
        </w:tc>
        <w:tc>
          <w:tcPr>
            <w:tcW w:type="dxa" w:w="2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Behörighet</w:t>
            </w:r>
          </w:p>
        </w:tc>
        <w:tc>
          <w:tcPr>
            <w:tcW w:type="dxa" w:w="2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Arrangör</w:t>
            </w:r>
          </w:p>
        </w:tc>
        <w:tc>
          <w:tcPr>
            <w:tcW w:type="dxa" w:w="18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Målgrupp</w:t>
            </w:r>
          </w:p>
        </w:tc>
        <w:tc>
          <w:tcPr>
            <w:tcW w:type="dxa" w:w="152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Uppdatering</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Miniplan – U10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Förening + SDF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Från U14 (14 år)</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Vart 4:e år</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DU2</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U11 – U13</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Förening + SDF</w:t>
            </w:r>
          </w:p>
        </w:tc>
        <w:tc>
          <w:tcPr>
            <w:tcW w:type="dxa" w:w="1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Från U15</w:t>
            </w:r>
          </w:p>
        </w:tc>
        <w:tc>
          <w:tcPr>
            <w:tcW w:type="dxa" w:w="1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Vart 4:e år</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U14 – U19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SDF (distrikt)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Genomfört DU1+DU2</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Årlig</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DU4–5</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Senior t.o.m. Div 2 D / Div 3 H</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SDF (distrikt)</w:t>
            </w:r>
          </w:p>
        </w:tc>
        <w:tc>
          <w:tcPr>
            <w:tcW w:type="dxa" w:w="1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Genomfört DU3</w:t>
            </w:r>
          </w:p>
        </w:tc>
        <w:tc>
          <w:tcPr>
            <w:tcW w:type="dxa" w:w="1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Årlig</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Senior t.o.m. Div 1 D / Div 2 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SDF (distrikt)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Genomfört DU4–5</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Årlig</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DU7</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Förbundsdomare</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SHF</w:t>
            </w:r>
          </w:p>
        </w:tc>
        <w:tc>
          <w:tcPr>
            <w:tcW w:type="dxa" w:w="1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Nominerad av SDF</w:t>
            </w:r>
          </w:p>
        </w:tc>
        <w:tc>
          <w:tcPr>
            <w:tcW w:type="dxa" w:w="1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Årlig</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Elitdomare (HBL herr &amp; dam)</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Etablerad satsande domare</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Årlig</w:t>
            </w:r>
          </w:p>
        </w:tc>
      </w:tr>
    </w:tbl>
    <w:p>
      <w:pPr>
        <w:spacing w:after="120"/>
      </w:pPr>
      <w:r>
        <w:rPr>
          <w:rFonts w:ascii="Arial" w:cs="Arial" w:eastAsia="Arial" w:hAnsi="Arial"/>
          <w:sz w:val="22"/>
          <w:szCs w:val="22"/>
        </w:rPr>
        <w:t xml:space="preserve"/>
      </w:r>
    </w:p>
    <w:p>
      <w:pPr>
        <w:pStyle w:val="Heading2"/>
      </w:pPr>
      <w:r>
        <w:t xml:space="preserve">2.2 Utbildningens upplägg per steg</w:t>
      </w:r>
    </w:p>
    <w:p>
      <w:pPr>
        <w:spacing w:after="120"/>
      </w:pPr>
      <w:r>
        <w:rPr>
          <w:rFonts w:ascii="Arial" w:cs="Arial" w:eastAsia="Arial" w:hAnsi="Arial"/>
          <w:sz w:val="22"/>
          <w:szCs w:val="22"/>
        </w:rPr>
        <w:t xml:space="preserve">DU1–2: Arrangeras av föreningar i samarbete med SDF. Ca 4–8 timmar totalt (digitalt + fysisk träff). Fokus på grundläggande regler, domartecken och matchsituationer för barn- och ungdomshandboll.</w:t>
      </w:r>
    </w:p>
    <w:p>
      <w:pPr>
        <w:spacing w:after="120"/>
      </w:pPr>
      <w:r>
        <w:rPr>
          <w:rFonts w:ascii="Arial" w:cs="Arial" w:eastAsia="Arial" w:hAnsi="Arial"/>
          <w:sz w:val="22"/>
          <w:szCs w:val="22"/>
        </w:rPr>
        <w:t xml:space="preserve">DU3: Digital del + fysisk träff, totalt ca 8 timmar. Innehåller egna studier, kunskapstest och hemuppgift. På den fysiska träffen samtalar man om kursinnehållet och gör övningar. En utbildare finns som stöd.</w:t>
      </w:r>
    </w:p>
    <w:p>
      <w:pPr>
        <w:spacing w:after="120"/>
      </w:pPr>
      <w:r>
        <w:rPr>
          <w:rFonts w:ascii="Arial" w:cs="Arial" w:eastAsia="Arial" w:hAnsi="Arial"/>
          <w:sz w:val="22"/>
          <w:szCs w:val="22"/>
        </w:rPr>
        <w:t xml:space="preserve">DU4–6: Liknande upplägg som DU3 men med ökad komplexitet. Från DU3 och uppåt får domare inloggning till Profixio (matchhanteringssystem).</w:t>
      </w:r>
    </w:p>
    <w:p>
      <w:pPr>
        <w:spacing w:after="120"/>
      </w:pPr>
      <w:r>
        <w:rPr>
          <w:rFonts w:ascii="Arial" w:cs="Arial" w:eastAsia="Arial" w:hAnsi="Arial"/>
          <w:sz w:val="22"/>
          <w:szCs w:val="22"/>
        </w:rPr>
        <w:t xml:space="preserve">DU7–8: Arrangeras av SHF centralt. DU8 genomförs normalt i augusti varje år. För att vara behörig på nivå 8 måste man klara av fysiska och regelmässiga krav från Domar- och funktionärskommittén.</w:t>
      </w:r>
    </w:p>
    <w:p>
      <w:pPr>
        <w:pStyle w:val="Heading2"/>
      </w:pPr>
      <w:r>
        <w:t xml:space="preserve">2.3 Instruktörer och mentorer</w:t>
      </w:r>
    </w:p>
    <w:p>
      <w:pPr>
        <w:spacing w:after="120"/>
      </w:pPr>
      <w:r>
        <w:rPr>
          <w:rFonts w:ascii="Arial" w:cs="Arial" w:eastAsia="Arial" w:hAnsi="Arial"/>
          <w:sz w:val="22"/>
          <w:szCs w:val="22"/>
        </w:rPr>
        <w:t xml:space="preserve">Det finns tre nivåer av domarinstruktörer: Föreningsinstruktör, SDF-instruktör och Förbundsinstruktör. Varje nivå har behörighet att utbilda domare och instruktörer på olika nivåer.</w:t>
      </w:r>
    </w:p>
    <w:p>
      <w:pPr>
        <w:spacing w:after="120"/>
      </w:pPr>
      <w:r>
        <w:rPr>
          <w:rFonts w:ascii="Arial" w:cs="Arial" w:eastAsia="Arial" w:hAnsi="Arial"/>
          <w:sz w:val="22"/>
          <w:szCs w:val="22"/>
        </w:rPr>
        <w:t xml:space="preserve">SHF har även en särskild utbildning för mentorer som har till uppgift att över tid stötta och coacha domare. Alla nya domare dömer inledningsvis sin första match inför en domarmentor som ger tips och stöd före och efter matchen.</w:t>
      </w:r>
    </w:p>
    <w:p>
      <w:pPr>
        <w:spacing w:after="120"/>
      </w:pPr>
      <w:r>
        <w:rPr>
          <w:rFonts w:ascii="Arial" w:cs="Arial" w:eastAsia="Arial" w:hAnsi="Arial"/>
          <w:sz w:val="22"/>
          <w:szCs w:val="22"/>
        </w:rPr>
        <w:t xml:space="preserve">SHF:s Domar- och funktionärskommitté nominerar även domarpar till den nationella utvecklingsgruppen (NUG) för domare med elit- och förbundsdomarstatus.</w:t>
      </w:r>
    </w:p>
    <w:p>
      <w:pPr>
        <w:pStyle w:val="Heading1"/>
      </w:pPr>
      <w:r>
        <w:t xml:space="preserve">3. Spelregler – Översikt (Regel 1–18)</w:t>
      </w:r>
    </w:p>
    <w:p>
      <w:pPr>
        <w:spacing w:after="120"/>
      </w:pPr>
      <w:r>
        <w:rPr>
          <w:rFonts w:ascii="Arial" w:cs="Arial" w:eastAsia="Arial" w:hAnsi="Arial"/>
          <w:sz w:val="22"/>
          <w:szCs w:val="22"/>
        </w:rPr>
        <w:t xml:space="preserve">Handbollens spelregler utges av IHF (Internationella Handbollförbundet) och anpassas av SHF för svenska förhållanden. Regelboken består av regeltext med kommentarer, domartecken, klärlägganden och reglemente för avbytarområdet. Den senaste versionen gäller från 1 juli 2025.</w:t>
      </w:r>
    </w:p>
    <w:p>
      <w:pPr>
        <w:pStyle w:val="Heading2"/>
      </w:pPr>
      <w:r>
        <w:t xml:space="preserve">3.1 Regelstruktur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Regel</w:t>
            </w:r>
          </w:p>
        </w:tc>
        <w:tc>
          <w:tcPr>
            <w:tcW w:type="dxa" w:w="38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Rubrik</w:t>
            </w:r>
          </w:p>
        </w:tc>
        <w:tc>
          <w:tcPr>
            <w:tcW w:type="dxa" w:w="402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Nyckelinnehåll för domare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Spelplanen</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40x20m, målgård (6m), frikastlinje (9m), 7m-linje, mittlinje, avkastområde. Linjer 5 cm. Mål 3x2 m.</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2</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Speltiden, slutsignal, timeout</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2x30 min (seniorer). Halvtidspaus 10 min. Time-out regler. Frikast vid slutsignal.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Bollen</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Storlek 3 (herrar), 2 (damer). Bollstorlekar per ålder (se TBBU).</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4</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Laget, byte, utrustning</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Max 14 spelare, 7 på plan. Flygande byten. Klisterregler (U15+). Max 17 spelare på matchprotokollet.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Målvakten</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Får bli utespelare. Får inte passera 6m-linjen med boll. Rörelsefrihet i målgården.</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6</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Målgården</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Endast målvakt. Beröring av målgårdslinje = beröring. Boll i målgård = målvaktskast.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Hur bollen får spelas, passivt spel</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 3 steg, 3 sek. Dubbelsstuds förbjudet. Passivt spel: förvarning + max 4 pass.</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8</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Förseelse &amp; osportsligt uppträdande</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Tillåten kontakt med böjda armar. Förbjudet: spärra med armar, hålla, knuffa, slå. Filmning = direkt utvisning.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Mål</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Hela bollen över mållinjen. Domarna godkänner mål.</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10</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Avkast</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Från avkastområdet. Alla riktningar. Motståndare utanför området.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Inkast</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Längs sidlinjen. En fot på sidlinjen.</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12</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Målvaktskast</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Målvakten från målgården. Ingen signal behövs.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Frikast</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Vid regelförseelse. Utanför 9m-linjen. Fördelstanke.</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14</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7-meterskast (straff)</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Klar målchans förhindrad regelvidrigt. Målvakt max 4m från mål.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Instruktioner för kast</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Regler för placering, 3-sekundersregeln, 3m-avstånd.</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16</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Bestraffningar</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Varning, utvisning (2 min), diskvalifikation, rapport.</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Domarna</w:t>
            </w:r>
          </w:p>
        </w:tc>
        <w:tc>
          <w:tcPr>
            <w:tcW w:type="dxa" w:w="40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Två likvärdiga domare. Planhalvedomare / måldomare.</w:t>
            </w:r>
          </w:p>
        </w:tc>
      </w:tr>
      <w:tr>
        <w:tc>
          <w:tcPr>
            <w:tcW w:type="dxa" w:w="12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18</w:t>
            </w:r>
          </w:p>
        </w:tc>
        <w:tc>
          <w:tcPr>
            <w:tcW w:type="dxa" w:w="3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Tidtagare och sekreterare</w:t>
            </w:r>
          </w:p>
        </w:tc>
        <w:tc>
          <w:tcPr>
            <w:tcW w:type="dxa" w:w="40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Matchklocka, protokoll, utvisningshantering.</w:t>
            </w:r>
          </w:p>
        </w:tc>
      </w:tr>
    </w:tbl>
    <w:p>
      <w:pPr>
        <w:pStyle w:val="Heading2"/>
      </w:pPr>
      <w:r>
        <w:t xml:space="preserve">3.2 Viktiga regeländringar och direktiv 2024–2025</w:t>
      </w:r>
    </w:p>
    <w:p>
      <w:pPr>
        <w:pStyle w:val="ListParagraph"/>
        <w:numPr>
          <w:ilvl w:val="0"/>
          <w:numId w:val="2"/>
        </w:numPr>
        <w:spacing w:after="60"/>
      </w:pPr>
      <w:r>
        <w:rPr>
          <w:rFonts w:ascii="Arial" w:cs="Arial" w:eastAsia="Arial" w:hAnsi="Arial"/>
          <w:sz w:val="22"/>
          <w:szCs w:val="22"/>
        </w:rPr>
        <w:t xml:space="preserve">Filmning (simulering) leder till omedelbar utvisning</w:t>
      </w:r>
    </w:p>
    <w:p>
      <w:pPr>
        <w:pStyle w:val="ListParagraph"/>
        <w:numPr>
          <w:ilvl w:val="0"/>
          <w:numId w:val="2"/>
        </w:numPr>
        <w:spacing w:after="60"/>
      </w:pPr>
      <w:r>
        <w:rPr>
          <w:rFonts w:ascii="Arial" w:cs="Arial" w:eastAsia="Arial" w:hAnsi="Arial"/>
          <w:sz w:val="22"/>
          <w:szCs w:val="22"/>
        </w:rPr>
        <w:t xml:space="preserve">Utespelare som går in i målgården och blockerar skott mot tomt mål = direkt utvisning</w:t>
      </w:r>
    </w:p>
    <w:p>
      <w:pPr>
        <w:pStyle w:val="ListParagraph"/>
        <w:numPr>
          <w:ilvl w:val="0"/>
          <w:numId w:val="2"/>
        </w:numPr>
        <w:spacing w:after="60"/>
      </w:pPr>
      <w:r>
        <w:rPr>
          <w:rFonts w:ascii="Arial" w:cs="Arial" w:eastAsia="Arial" w:hAnsi="Arial"/>
          <w:sz w:val="22"/>
          <w:szCs w:val="22"/>
        </w:rPr>
        <w:t xml:space="preserve">Förbättrad balans och flyt: domarna uppmanas sträva efter konsekvent bedömning och undvika onödiga avbrott</w:t>
      </w:r>
    </w:p>
    <w:p>
      <w:pPr>
        <w:pStyle w:val="ListParagraph"/>
        <w:numPr>
          <w:ilvl w:val="0"/>
          <w:numId w:val="2"/>
        </w:numPr>
        <w:spacing w:after="60"/>
      </w:pPr>
      <w:r>
        <w:rPr>
          <w:rFonts w:ascii="Arial" w:cs="Arial" w:eastAsia="Arial" w:hAnsi="Arial"/>
          <w:sz w:val="22"/>
          <w:szCs w:val="22"/>
        </w:rPr>
        <w:t xml:space="preserve">Avkastregeln enligt 10:3b gäller i all handboll i Sverige</w:t>
      </w:r>
    </w:p>
    <w:p>
      <w:pPr>
        <w:pStyle w:val="ListParagraph"/>
        <w:numPr>
          <w:ilvl w:val="0"/>
          <w:numId w:val="2"/>
        </w:numPr>
        <w:spacing w:after="60"/>
      </w:pPr>
      <w:r>
        <w:rPr>
          <w:rFonts w:ascii="Arial" w:cs="Arial" w:eastAsia="Arial" w:hAnsi="Arial"/>
          <w:sz w:val="22"/>
          <w:szCs w:val="22"/>
        </w:rPr>
        <w:t xml:space="preserve">Passivt spel: max 4 passningar efter förvarning (5:e mottaget pass = frikast)</w:t>
      </w:r>
    </w:p>
    <w:p>
      <w:pPr>
        <w:pStyle w:val="ListParagraph"/>
        <w:numPr>
          <w:ilvl w:val="0"/>
          <w:numId w:val="2"/>
        </w:numPr>
        <w:spacing w:after="60"/>
      </w:pPr>
      <w:r>
        <w:rPr>
          <w:rFonts w:ascii="Arial" w:cs="Arial" w:eastAsia="Arial" w:hAnsi="Arial"/>
          <w:sz w:val="22"/>
          <w:szCs w:val="22"/>
        </w:rPr>
        <w:t xml:space="preserve">Skydd av sportens image: fokus på att motverka provokationer och överreaktioner</w:t>
      </w:r>
    </w:p>
    <w:p>
      <w:pPr>
        <w:pStyle w:val="ListParagraph"/>
        <w:numPr>
          <w:ilvl w:val="0"/>
          <w:numId w:val="2"/>
        </w:numPr>
        <w:spacing w:after="60"/>
      </w:pPr>
      <w:r>
        <w:rPr>
          <w:rFonts w:ascii="Arial" w:cs="Arial" w:eastAsia="Arial" w:hAnsi="Arial"/>
          <w:sz w:val="22"/>
          <w:szCs w:val="22"/>
        </w:rPr>
        <w:t xml:space="preserve">Säkerhetskrav för skydd: fotledsskydd med hårda delar måste täckas helt</w:t>
      </w:r>
    </w:p>
    <w:p>
      <w:pPr>
        <w:pStyle w:val="Heading1"/>
      </w:pPr>
      <w:r>
        <w:t xml:space="preserve">4. Särskilda regler för barnhandboll (minihandboll)</w:t>
      </w:r>
    </w:p>
    <w:p>
      <w:pPr>
        <w:spacing w:after="120"/>
      </w:pPr>
      <w:r>
        <w:rPr>
          <w:rFonts w:ascii="Arial" w:cs="Arial" w:eastAsia="Arial" w:hAnsi="Arial"/>
          <w:sz w:val="22"/>
          <w:szCs w:val="22"/>
        </w:rPr>
        <w:t xml:space="preserve">Barnhandboll utövas av barn upp till 11 år (U11). SHF har särskilda anpassade regler för minihandbollen (6–11 år) som ska ge goda upplevelser, utveckling i alla spelets faser och hålla bollen i spel utan onödiga avbrott.</w:t>
      </w:r>
    </w:p>
    <w:p>
      <w:pPr>
        <w:pStyle w:val="Heading2"/>
      </w:pPr>
      <w:r>
        <w:t xml:space="preserve">4.1 Spelformer per ålder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800"/>
        <w:gridCol w:w="2000"/>
        <w:gridCol w:w="2026"/>
      </w:tblGrid>
      <w:tr>
        <w:tc>
          <w:tcPr>
            <w:tcW w:type="dxa" w:w="10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Ålder</w:t>
            </w:r>
          </w:p>
        </w:tc>
        <w:tc>
          <w:tcPr>
            <w:tcW w:type="dxa" w:w="22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Spelform</w:t>
            </w:r>
          </w:p>
        </w:tc>
        <w:tc>
          <w:tcPr>
            <w:tcW w:type="dxa" w:w="18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Plan</w:t>
            </w:r>
          </w:p>
        </w:tc>
        <w:tc>
          <w:tcPr>
            <w:tcW w:type="dxa" w:w="20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Mål</w:t>
            </w:r>
          </w:p>
        </w:tc>
        <w:tc>
          <w:tcPr>
            <w:tcW w:type="dxa" w:w="202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Boll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U7–U8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Handbollfestival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Miniplan 12x20m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2,0–2,4 x 1,6–1,7m</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Storlek 0, mjukboll</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U9</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Minihandboll (4+1)</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Miniplan 12x20m</w:t>
            </w:r>
          </w:p>
        </w:tc>
        <w:tc>
          <w:tcPr>
            <w:tcW w:type="dxa" w:w="1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2,0–2,4 x 1,6–1,7m</w:t>
            </w:r>
          </w:p>
        </w:tc>
        <w:tc>
          <w:tcPr>
            <w:tcW w:type="dxa" w:w="1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Storlek 0, mjukboll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Kortplan (5+1)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Kortplan 26x20m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x 1,7m (påhängsribba)</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Storlek 0</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U11</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Storplan (6+1)</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Fullstorplan 40x20m</w:t>
            </w:r>
          </w:p>
        </w:tc>
        <w:tc>
          <w:tcPr>
            <w:tcW w:type="dxa" w:w="1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3 x 1,7m (påhängsribba)</w:t>
            </w:r>
          </w:p>
        </w:tc>
        <w:tc>
          <w:tcPr>
            <w:tcW w:type="dxa" w:w="1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Storlek 1</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U12–U14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Ungdomshandboll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Fullstorplan 40x20m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x 2m</w:t>
            </w:r>
          </w:p>
        </w:tc>
        <w:tc>
          <w:tcPr>
            <w:tcW w:type="dxa" w:w="1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Stl 1–2 (kön/ålder)</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U15+</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Seniorregler</w:t>
            </w:r>
          </w:p>
        </w:tc>
        <w:tc>
          <w:tcPr>
            <w:tcW w:type="dxa" w:w="2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Fullstorplan 40x20m</w:t>
            </w:r>
          </w:p>
        </w:tc>
        <w:tc>
          <w:tcPr>
            <w:tcW w:type="dxa" w:w="1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3 x 2m</w:t>
            </w:r>
          </w:p>
        </w:tc>
        <w:tc>
          <w:tcPr>
            <w:tcW w:type="dxa" w:w="1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Stl 2 (D) / 3 (H)</w:t>
            </w:r>
          </w:p>
        </w:tc>
      </w:tr>
    </w:tbl>
    <w:p>
      <w:pPr>
        <w:pStyle w:val="Heading2"/>
      </w:pPr>
      <w:r>
        <w:t xml:space="preserve">4.2 Anpassade regler i minihandboll</w:t>
      </w:r>
    </w:p>
    <w:p>
      <w:pPr>
        <w:spacing w:after="120"/>
      </w:pPr>
      <w:r>
        <w:rPr>
          <w:rFonts w:ascii="Arial" w:cs="Arial" w:eastAsia="Arial" w:hAnsi="Arial"/>
          <w:sz w:val="22"/>
          <w:szCs w:val="22"/>
        </w:rPr>
        <w:t xml:space="preserve">Följande regeländringar gäller för minihandboll och är centrala för domare att känna till:</w:t>
      </w:r>
    </w:p>
    <w:p>
      <w:pPr>
        <w:pStyle w:val="ListParagraph"/>
        <w:numPr>
          <w:ilvl w:val="0"/>
          <w:numId w:val="3"/>
        </w:numPr>
        <w:spacing w:after="60"/>
      </w:pPr>
      <w:r>
        <w:rPr>
          <w:rFonts w:ascii="Arial" w:cs="Arial" w:eastAsia="Arial" w:hAnsi="Arial"/>
          <w:sz w:val="22"/>
          <w:szCs w:val="22"/>
        </w:rPr>
        <w:t xml:space="preserve">Tre-sekundersregeln används INTE – barn behöver mer tid för att upptäcka medspelare och ta beslut.</w:t>
      </w:r>
    </w:p>
    <w:p>
      <w:pPr>
        <w:pStyle w:val="ListParagraph"/>
        <w:numPr>
          <w:ilvl w:val="0"/>
          <w:numId w:val="3"/>
        </w:numPr>
        <w:spacing w:after="60"/>
      </w:pPr>
      <w:r>
        <w:rPr>
          <w:rFonts w:ascii="Arial" w:cs="Arial" w:eastAsia="Arial" w:hAnsi="Arial"/>
          <w:sz w:val="22"/>
          <w:szCs w:val="22"/>
        </w:rPr>
        <w:t xml:space="preserve">Passivt spel bedöms mycket generöst eller används inte alls.</w:t>
      </w:r>
    </w:p>
    <w:p>
      <w:pPr>
        <w:pStyle w:val="ListParagraph"/>
        <w:numPr>
          <w:ilvl w:val="0"/>
          <w:numId w:val="3"/>
        </w:numPr>
        <w:spacing w:after="60"/>
      </w:pPr>
      <w:r>
        <w:rPr>
          <w:rFonts w:ascii="Arial" w:cs="Arial" w:eastAsia="Arial" w:hAnsi="Arial"/>
          <w:sz w:val="22"/>
          <w:szCs w:val="22"/>
        </w:rPr>
        <w:t xml:space="preserve">Inga utvisningar – domaren förklarar och vägleder istället.</w:t>
      </w:r>
    </w:p>
    <w:p>
      <w:pPr>
        <w:pStyle w:val="ListParagraph"/>
        <w:numPr>
          <w:ilvl w:val="0"/>
          <w:numId w:val="3"/>
        </w:numPr>
        <w:spacing w:after="60"/>
      </w:pPr>
      <w:r>
        <w:rPr>
          <w:rFonts w:ascii="Arial" w:cs="Arial" w:eastAsia="Arial" w:hAnsi="Arial"/>
          <w:sz w:val="22"/>
          <w:szCs w:val="22"/>
        </w:rPr>
        <w:t xml:space="preserve">Inga tabeller eller resultatrapportering i de yngsta åldrarna.</w:t>
      </w:r>
    </w:p>
    <w:p>
      <w:pPr>
        <w:pStyle w:val="ListParagraph"/>
        <w:numPr>
          <w:ilvl w:val="0"/>
          <w:numId w:val="3"/>
        </w:numPr>
        <w:spacing w:after="60"/>
      </w:pPr>
      <w:r>
        <w:rPr>
          <w:rFonts w:ascii="Arial" w:cs="Arial" w:eastAsia="Arial" w:hAnsi="Arial"/>
          <w:sz w:val="22"/>
          <w:szCs w:val="22"/>
        </w:rPr>
        <w:t xml:space="preserve">Utslagningsmatcher får INTE förekomma i barnhandboll.</w:t>
      </w:r>
    </w:p>
    <w:p>
      <w:pPr>
        <w:pStyle w:val="ListParagraph"/>
        <w:numPr>
          <w:ilvl w:val="0"/>
          <w:numId w:val="3"/>
        </w:numPr>
        <w:spacing w:after="60"/>
      </w:pPr>
      <w:r>
        <w:rPr>
          <w:rFonts w:ascii="Arial" w:cs="Arial" w:eastAsia="Arial" w:hAnsi="Arial"/>
          <w:sz w:val="22"/>
          <w:szCs w:val="22"/>
        </w:rPr>
        <w:t xml:space="preserve">Alla ska spela lika mycket – fokus på individens utveckling.</w:t>
      </w:r>
    </w:p>
    <w:p>
      <w:pPr>
        <w:pStyle w:val="ListParagraph"/>
        <w:numPr>
          <w:ilvl w:val="0"/>
          <w:numId w:val="3"/>
        </w:numPr>
        <w:spacing w:after="60"/>
      </w:pPr>
      <w:r>
        <w:rPr>
          <w:rFonts w:ascii="Arial" w:cs="Arial" w:eastAsia="Arial" w:hAnsi="Arial"/>
          <w:sz w:val="22"/>
          <w:szCs w:val="22"/>
        </w:rPr>
        <w:t xml:space="preserve">Klister är förbjudet för åldrar under U15.</w:t>
      </w:r>
    </w:p>
    <w:p>
      <w:pPr>
        <w:pStyle w:val="Heading2"/>
      </w:pPr>
      <w:r>
        <w:t xml:space="preserve">4.3 Domartillsattning i barnhandboll</w:t>
      </w:r>
    </w:p>
    <w:p>
      <w:pPr>
        <w:spacing w:after="120"/>
      </w:pPr>
      <w:r>
        <w:rPr>
          <w:rFonts w:ascii="Arial" w:cs="Arial" w:eastAsia="Arial" w:hAnsi="Arial"/>
          <w:sz w:val="22"/>
          <w:szCs w:val="22"/>
        </w:rPr>
        <w:t xml:space="preserve">För minihandboll: Hemmalaget ansvarar för domare 1, bortalaget för domare 2 (alt. arrangören för båda). SHF rekommenderar att matcherna döms av två domare. Grundprincipen är att alla matcher, oavsett åldersgrupp, ska dömas av utbildade domare.</w:t>
      </w:r>
    </w:p>
    <w:p>
      <w:pPr>
        <w:pStyle w:val="Heading1"/>
      </w:pPr>
      <w:r>
        <w:t xml:space="preserve">5. Bestraffningssystemet</w:t>
      </w:r>
    </w:p>
    <w:p>
      <w:pPr>
        <w:pStyle w:val="Heading2"/>
      </w:pPr>
      <w:r>
        <w:t xml:space="preserve">5.1 Bestraffningstrappan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Bestraffning</w:t>
            </w:r>
          </w:p>
        </w:tc>
        <w:tc>
          <w:tcPr>
            <w:tcW w:type="dxa" w:w="3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När</w:t>
            </w:r>
          </w:p>
        </w:tc>
        <w:tc>
          <w:tcPr>
            <w:tcW w:type="dxa" w:w="352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Konsekvens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Frikast (Regel 13)</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Mindre regelförseelser</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Boll till motståndaren från platsen för förseelsen, utanför 9m-linjen</w:t>
            </w:r>
          </w:p>
        </w:tc>
      </w:tr>
      <w:tr>
        <w:tc>
          <w:tcPr>
            <w:tcW w:type="dxa" w:w="20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Varning (gult kort)</w:t>
            </w:r>
          </w:p>
        </w:tc>
        <w:tc>
          <w:tcPr>
            <w:tcW w:type="dxa" w:w="3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Första gången mildare osportsligt beteende</w:t>
            </w:r>
          </w:p>
        </w:tc>
        <w:tc>
          <w:tcPr>
            <w:tcW w:type="dxa" w:w="3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Personlig bestraffning, max en per spelare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Utvisning (2 min)</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Grövre förseelse, upprepad osportslighet, filmning</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Spelaren lämnar planen 2 min, laget spelar med en färre</w:t>
            </w:r>
          </w:p>
        </w:tc>
      </w:tr>
      <w:tr>
        <w:tc>
          <w:tcPr>
            <w:tcW w:type="dxa" w:w="20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Diskvalifikation (rött kort)</w:t>
            </w:r>
          </w:p>
        </w:tc>
        <w:tc>
          <w:tcPr>
            <w:tcW w:type="dxa" w:w="3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3:e utvisningen, allvarlig ojusthet, våld</w:t>
            </w:r>
          </w:p>
        </w:tc>
        <w:tc>
          <w:tcPr>
            <w:tcW w:type="dxa" w:w="35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Spelaren lämnar planen permanent. Laget får ersättare efter 2 min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Diskvalifikation + rapport (blått kort)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Särskilt allvarliga handlingar</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Rapport till disciplinnämnd för vidare åtgärd</w:t>
            </w:r>
          </w:p>
        </w:tc>
      </w:tr>
    </w:tbl>
    <w:p>
      <w:pPr>
        <w:pStyle w:val="Heading2"/>
      </w:pPr>
      <w:r>
        <w:t xml:space="preserve">5.2 Regel 8 – Förseelser och osportsligt uppträdande</w:t>
      </w:r>
    </w:p>
    <w:p>
      <w:pPr>
        <w:spacing w:after="120"/>
      </w:pPr>
      <w:r>
        <w:rPr>
          <w:rFonts w:ascii="Arial" w:cs="Arial" w:eastAsia="Arial" w:hAnsi="Arial"/>
          <w:sz w:val="22"/>
          <w:szCs w:val="22"/>
        </w:rPr>
        <w:t xml:space="preserve">Tillåtet (Regel 8:1): Använda kroppen för att spärra motståndaren, kontakt med böjda armar i utgångsposition.</w:t>
      </w:r>
    </w:p>
    <w:p>
      <w:pPr>
        <w:spacing w:after="120"/>
      </w:pPr>
      <w:r>
        <w:rPr>
          <w:rFonts w:ascii="Arial" w:cs="Arial" w:eastAsia="Arial" w:hAnsi="Arial"/>
          <w:sz w:val="22"/>
          <w:szCs w:val="22"/>
        </w:rPr>
        <w:t xml:space="preserve">Inte tillåtet (Regel 8:2): Dra/slå bollen ur händerna, spärra med armar/ben, hålla i motståndare, springa på/hoppa in i motståndare.</w:t>
      </w:r>
    </w:p>
    <w:p>
      <w:pPr>
        <w:spacing w:after="120"/>
      </w:pPr>
      <w:r>
        <w:rPr>
          <w:rFonts w:ascii="Arial" w:cs="Arial" w:eastAsia="Arial" w:hAnsi="Arial"/>
          <w:sz w:val="22"/>
          <w:szCs w:val="22"/>
        </w:rPr>
        <w:t xml:space="preserve">Osportsligt uppträdande som kräver omedelbar utvisning (Regel 8:8): Högljudda protester, vägra släppa boll efter domslut, hindra tillgång till boll i avbytarområdet, filmning (simulering), upprepat beträdande av målgård i taktiska syften.</w:t>
      </w:r>
    </w:p>
    <w:p>
      <w:pPr>
        <w:pStyle w:val="Heading1"/>
      </w:pPr>
      <w:r>
        <w:t xml:space="preserve">6. Passivt spel (Regel 7:11–12)</w:t>
      </w:r>
    </w:p>
    <w:p>
      <w:pPr>
        <w:spacing w:after="120"/>
      </w:pPr>
      <w:r>
        <w:rPr>
          <w:rFonts w:ascii="Arial" w:cs="Arial" w:eastAsia="Arial" w:hAnsi="Arial"/>
          <w:sz w:val="22"/>
          <w:szCs w:val="22"/>
        </w:rPr>
        <w:t xml:space="preserve">När domarna bedömer att det anfallande laget inte aktivt försöker komma till avslut:</w:t>
      </w:r>
    </w:p>
    <w:p>
      <w:pPr>
        <w:pStyle w:val="ListParagraph"/>
        <w:numPr>
          <w:ilvl w:val="0"/>
          <w:numId w:val="3"/>
        </w:numPr>
        <w:spacing w:after="60"/>
      </w:pPr>
      <w:r>
        <w:rPr>
          <w:rFonts w:ascii="Arial" w:cs="Arial" w:eastAsia="Arial" w:hAnsi="Arial"/>
          <w:sz w:val="22"/>
          <w:szCs w:val="22"/>
        </w:rPr>
        <w:t xml:space="preserve">Domare visar förvarningstecken (domartecken 17 – arm rakt upp).</w:t>
      </w:r>
    </w:p>
    <w:p>
      <w:pPr>
        <w:pStyle w:val="ListParagraph"/>
        <w:numPr>
          <w:ilvl w:val="0"/>
          <w:numId w:val="3"/>
        </w:numPr>
        <w:spacing w:after="60"/>
      </w:pPr>
      <w:r>
        <w:rPr>
          <w:rFonts w:ascii="Arial" w:cs="Arial" w:eastAsia="Arial" w:hAnsi="Arial"/>
          <w:sz w:val="22"/>
          <w:szCs w:val="22"/>
        </w:rPr>
        <w:t xml:space="preserve">Laget får möjlighet att ändra sitt anfallssätt.</w:t>
      </w:r>
    </w:p>
    <w:p>
      <w:pPr>
        <w:pStyle w:val="ListParagraph"/>
        <w:numPr>
          <w:ilvl w:val="0"/>
          <w:numId w:val="3"/>
        </w:numPr>
        <w:spacing w:after="60"/>
      </w:pPr>
      <w:r>
        <w:rPr>
          <w:rFonts w:ascii="Arial" w:cs="Arial" w:eastAsia="Arial" w:hAnsi="Arial"/>
          <w:sz w:val="22"/>
          <w:szCs w:val="22"/>
        </w:rPr>
        <w:t xml:space="preserve">Om inget skott mot mål utförs efter maximalt 4 passningar (d.v.s. när 5:e passet tas emot) döms frikast för motståndarna.</w:t>
      </w:r>
    </w:p>
    <w:p>
      <w:pPr>
        <w:pStyle w:val="ListParagraph"/>
        <w:numPr>
          <w:ilvl w:val="0"/>
          <w:numId w:val="3"/>
        </w:numPr>
        <w:spacing w:after="60"/>
      </w:pPr>
      <w:r>
        <w:rPr>
          <w:rFonts w:ascii="Arial" w:cs="Arial" w:eastAsia="Arial" w:hAnsi="Arial"/>
          <w:sz w:val="22"/>
          <w:szCs w:val="22"/>
        </w:rPr>
        <w:t xml:space="preserve">Domarnas bedömning av antal passningar är ett beslut utifrån deras observation och kan inte protesteras.</w:t>
      </w:r>
    </w:p>
    <w:p>
      <w:pPr>
        <w:spacing w:after="120"/>
      </w:pPr>
      <w:r>
        <w:rPr>
          <w:rFonts w:ascii="Arial" w:cs="Arial" w:eastAsia="Arial" w:hAnsi="Arial"/>
          <w:sz w:val="22"/>
          <w:szCs w:val="22"/>
        </w:rPr>
        <w:t xml:space="preserve">Viktigt: En pass tillämpas inte om det sker en tydlig riktningsändring mot mål. Frikastet utförs från platsen där bollen befann sig vid spelavbrottet.</w:t>
      </w:r>
    </w:p>
    <w:p>
      <w:pPr>
        <w:pStyle w:val="Heading1"/>
      </w:pPr>
      <w:r>
        <w:t xml:space="preserve">7. Domartecken</w:t>
      </w:r>
    </w:p>
    <w:p>
      <w:pPr>
        <w:spacing w:after="120"/>
      </w:pPr>
      <w:r>
        <w:rPr>
          <w:rFonts w:ascii="Arial" w:cs="Arial" w:eastAsia="Arial" w:hAnsi="Arial"/>
          <w:sz w:val="22"/>
          <w:szCs w:val="22"/>
        </w:rPr>
        <w:t xml:space="preserve">Domartecken är standardiserade av IHF och används på alla nivåer. Det finns 18 officiella tecken. Några är obligatoriska i alla situationer, andra används när domarna bedömer dem nödvändiga.</w:t>
      </w:r>
    </w:p>
    <w:p>
      <w:pPr>
        <w:pStyle w:val="Heading2"/>
      </w:pPr>
      <w:r>
        <w:t xml:space="preserve">7.1 De viktigaste domartecknen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800"/>
        <w:gridCol w:w="2826"/>
      </w:tblGrid>
      <w:tr>
        <w:tc>
          <w:tcPr>
            <w:tcW w:type="dxa" w:w="9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Nr</w:t>
            </w:r>
          </w:p>
        </w:tc>
        <w:tc>
          <w:tcPr>
            <w:tcW w:type="dxa" w:w="25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Tecken</w:t>
            </w:r>
          </w:p>
        </w:tc>
        <w:tc>
          <w:tcPr>
            <w:tcW w:type="dxa" w:w="28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Beskrivning (gest)</w:t>
            </w:r>
          </w:p>
        </w:tc>
        <w:tc>
          <w:tcPr>
            <w:tcW w:type="dxa" w:w="2826"/>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Beträdande av målgård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Arm pekar mot målgård</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Utespelare kliver i målgård</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Felaktigt dribblande</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Armar i vågliknande rörelse</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Dubbelsstuds, studs med båda händer</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För många steg / hålla bollen för länge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Rullande armrörelse</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Fler än 3 steg eller mer än 3 sek</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Fasthållning, spärrning</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Gripa runt handled</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Otillåten kontakt / håller motståndare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Slag mot arm</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Slår mot egen arm</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Slår på motståndarens arm</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Anfallsfoul</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Båda armar framåt/isär</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Springer in i / knuffar försvarare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Avkast/Frikast för motståndaren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Pekar med arm i angreppsriktning</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Bollen går över till motståndarna</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8</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Målvaktskast</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Pekar mot målgården</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Målvakten återupptar spelet</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Frikast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Arm pekar 45° uppåt mot kastriktningen</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Frikast för det drabbade laget</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10</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Fördel, spela vidare</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En arm böjd framåt</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Förseelse skett men fördel appliceras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Straffkast (7m)</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Arm pekar mot mål snett nedåt</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Klar målchans regelvidrigt förhindrad</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12</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Timeout</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T-tecken med händerna</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Timeout begärs/beviljas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Varning (gult kort)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Håller upp gult kort</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Personlig bestraffning</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14</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Utvisning</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Arm rakt upp, 2 fingrar</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2 min utvisning</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Diskvalifikation (rött kort)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Håller upp rött kort</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Spelaren diskvalificerad</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16</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Mål!</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Armar pekar mot mitten</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Godkänt mål</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Förvarning passivt spel</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 arm rakt upp</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Varning om passivt spel</w:t>
            </w:r>
          </w:p>
        </w:tc>
      </w:tr>
      <w:tr>
        <w:tc>
          <w:tcPr>
            <w:tcW w:type="dxa" w:w="9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18</w:t>
            </w:r>
          </w:p>
        </w:tc>
        <w:tc>
          <w:tcPr>
            <w:tcW w:type="dxa" w:w="25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Inkast</w:t>
            </w:r>
          </w:p>
        </w:tc>
        <w:tc>
          <w:tcPr>
            <w:tcW w:type="dxa" w:w="28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Pekar med arm åt en riktning</w:t>
            </w:r>
          </w:p>
        </w:tc>
        <w:tc>
          <w:tcPr>
            <w:tcW w:type="dxa" w:w="2826"/>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r>
              <w:rPr>
                <w:rFonts w:ascii="Arial" w:cs="Arial" w:eastAsia="Arial" w:hAnsi="Arial"/>
                <w:sz w:val="20"/>
                <w:szCs w:val="20"/>
              </w:rPr>
              <w:t xml:space="preserve">Inkast från sidlinjen</w:t>
            </w:r>
          </w:p>
        </w:tc>
      </w:tr>
    </w:tbl>
    <w:p>
      <w:pPr>
        <w:spacing w:after="120"/>
      </w:pPr>
      <w:r>
        <w:rPr>
          <w:rFonts w:ascii="Arial" w:cs="Arial" w:eastAsia="Arial" w:hAnsi="Arial"/>
          <w:sz w:val="22"/>
          <w:szCs w:val="22"/>
        </w:rPr>
        <w:t xml:space="preserve">Tecken 11, 15 och 16 är obligatoriska i de situationer de förekommer. Tecken 8, 10 och 17 används när domarna bedömer dem nödvändiga.</w:t>
      </w:r>
    </w:p>
    <w:p>
      <w:pPr>
        <w:pStyle w:val="Heading1"/>
      </w:pPr>
      <w:r>
        <w:t xml:space="preserve">8. Domarens roll och positionering (Regel 17)</w:t>
      </w:r>
    </w:p>
    <w:p>
      <w:pPr>
        <w:spacing w:after="120"/>
      </w:pPr>
      <w:r>
        <w:rPr>
          <w:rFonts w:ascii="Arial" w:cs="Arial" w:eastAsia="Arial" w:hAnsi="Arial"/>
          <w:sz w:val="22"/>
          <w:szCs w:val="22"/>
        </w:rPr>
        <w:t xml:space="preserve">Handboll döms av två likvärdiga domare som har gemensamt ansvar för matchens genomförande. Domarna tar omväxlande rollerna som planhalvedomare och måldomare.</w:t>
      </w:r>
    </w:p>
    <w:p>
      <w:pPr>
        <w:pStyle w:val="Heading2"/>
      </w:pPr>
      <w:r>
        <w:t xml:space="preserve">8.1 Grundläggande positionering</w:t>
      </w:r>
    </w:p>
    <w:p>
      <w:pPr>
        <w:pStyle w:val="ListParagraph"/>
        <w:numPr>
          <w:ilvl w:val="0"/>
          <w:numId w:val="2"/>
        </w:numPr>
        <w:spacing w:after="60"/>
      </w:pPr>
      <w:r>
        <w:rPr>
          <w:rFonts w:ascii="Arial" w:cs="Arial" w:eastAsia="Arial" w:hAnsi="Arial"/>
          <w:sz w:val="22"/>
          <w:szCs w:val="22"/>
        </w:rPr>
        <w:t xml:space="preserve">Måldomare: Står vid mållinjen och bedömer målsituationer, målgårdsinträng och avslut.</w:t>
      </w:r>
    </w:p>
    <w:p>
      <w:pPr>
        <w:pStyle w:val="ListParagraph"/>
        <w:numPr>
          <w:ilvl w:val="0"/>
          <w:numId w:val="2"/>
        </w:numPr>
        <w:spacing w:after="60"/>
      </w:pPr>
      <w:r>
        <w:rPr>
          <w:rFonts w:ascii="Arial" w:cs="Arial" w:eastAsia="Arial" w:hAnsi="Arial"/>
          <w:sz w:val="22"/>
          <w:szCs w:val="22"/>
        </w:rPr>
        <w:t xml:space="preserve">Planhalvedomare: Rör sig bakom det anfallande laget och har överblick över spelets bredd.</w:t>
      </w:r>
    </w:p>
    <w:p>
      <w:pPr>
        <w:pStyle w:val="ListParagraph"/>
        <w:numPr>
          <w:ilvl w:val="0"/>
          <w:numId w:val="2"/>
        </w:numPr>
        <w:spacing w:after="60"/>
      </w:pPr>
      <w:r>
        <w:rPr>
          <w:rFonts w:ascii="Arial" w:cs="Arial" w:eastAsia="Arial" w:hAnsi="Arial"/>
          <w:sz w:val="22"/>
          <w:szCs w:val="22"/>
        </w:rPr>
        <w:t xml:space="preserve">Vid avkast byter domarna roller (den som var måldomare blir planhalvedomare och tvärtom).</w:t>
      </w:r>
    </w:p>
    <w:p>
      <w:pPr>
        <w:pStyle w:val="Heading2"/>
      </w:pPr>
      <w:r>
        <w:t xml:space="preserve">8.2 Rörelsemönster</w:t>
      </w:r>
    </w:p>
    <w:p>
      <w:pPr>
        <w:spacing w:after="120"/>
      </w:pPr>
      <w:r>
        <w:rPr>
          <w:rFonts w:ascii="Arial" w:cs="Arial" w:eastAsia="Arial" w:hAnsi="Arial"/>
          <w:sz w:val="22"/>
          <w:szCs w:val="22"/>
        </w:rPr>
        <w:t xml:space="preserve">Domaren ska röra sig mellan offensiv och defensiv planhalva utan att hamna i vägen för spelet. Bra rörelsemönster innebär:</w:t>
      </w:r>
    </w:p>
    <w:p>
      <w:pPr>
        <w:pStyle w:val="ListParagraph"/>
        <w:numPr>
          <w:ilvl w:val="0"/>
          <w:numId w:val="2"/>
        </w:numPr>
        <w:spacing w:after="60"/>
      </w:pPr>
      <w:r>
        <w:rPr>
          <w:rFonts w:ascii="Arial" w:cs="Arial" w:eastAsia="Arial" w:hAnsi="Arial"/>
          <w:sz w:val="22"/>
          <w:szCs w:val="22"/>
        </w:rPr>
        <w:t xml:space="preserve">Hög positioneringsmedvetenhet – alltid ha överblick över spelområdet</w:t>
      </w:r>
    </w:p>
    <w:p>
      <w:pPr>
        <w:pStyle w:val="ListParagraph"/>
        <w:numPr>
          <w:ilvl w:val="0"/>
          <w:numId w:val="2"/>
        </w:numPr>
        <w:spacing w:after="60"/>
      </w:pPr>
      <w:r>
        <w:rPr>
          <w:rFonts w:ascii="Arial" w:cs="Arial" w:eastAsia="Arial" w:hAnsi="Arial"/>
          <w:sz w:val="22"/>
          <w:szCs w:val="22"/>
        </w:rPr>
        <w:t xml:space="preserve">Snabba växlingar mellan offensivt och defensivt läge</w:t>
      </w:r>
    </w:p>
    <w:p>
      <w:pPr>
        <w:pStyle w:val="ListParagraph"/>
        <w:numPr>
          <w:ilvl w:val="0"/>
          <w:numId w:val="2"/>
        </w:numPr>
        <w:spacing w:after="60"/>
      </w:pPr>
      <w:r>
        <w:rPr>
          <w:rFonts w:ascii="Arial" w:cs="Arial" w:eastAsia="Arial" w:hAnsi="Arial"/>
          <w:sz w:val="22"/>
          <w:szCs w:val="22"/>
        </w:rPr>
        <w:t xml:space="preserve">Tydliga tecken som alla ser</w:t>
      </w:r>
    </w:p>
    <w:p>
      <w:pPr>
        <w:pStyle w:val="ListParagraph"/>
        <w:numPr>
          <w:ilvl w:val="0"/>
          <w:numId w:val="2"/>
        </w:numPr>
        <w:spacing w:after="60"/>
      </w:pPr>
      <w:r>
        <w:rPr>
          <w:rFonts w:ascii="Arial" w:cs="Arial" w:eastAsia="Arial" w:hAnsi="Arial"/>
          <w:sz w:val="22"/>
          <w:szCs w:val="22"/>
        </w:rPr>
        <w:t xml:space="preserve">Anpassning efter vad som händer i spelet</w:t>
      </w:r>
    </w:p>
    <w:p>
      <w:pPr>
        <w:pStyle w:val="ListParagraph"/>
        <w:numPr>
          <w:ilvl w:val="0"/>
          <w:numId w:val="2"/>
        </w:numPr>
        <w:spacing w:after="60"/>
      </w:pPr>
      <w:r>
        <w:rPr>
          <w:rFonts w:ascii="Arial" w:cs="Arial" w:eastAsia="Arial" w:hAnsi="Arial"/>
          <w:sz w:val="22"/>
          <w:szCs w:val="22"/>
        </w:rPr>
        <w:t xml:space="preserve">Bra kroppsspråk – vara tydlig och närvarande</w:t>
      </w:r>
    </w:p>
    <w:p>
      <w:pPr>
        <w:pStyle w:val="Heading2"/>
      </w:pPr>
      <w:r>
        <w:t xml:space="preserve">8.3 Handbollsdomarens 10 punkter</w:t>
      </w:r>
    </w:p>
    <w:p>
      <w:pPr>
        <w:spacing w:after="120"/>
      </w:pPr>
      <w:r>
        <w:rPr>
          <w:rFonts w:ascii="Arial" w:cs="Arial" w:eastAsia="Arial" w:hAnsi="Arial"/>
          <w:sz w:val="22"/>
          <w:szCs w:val="22"/>
        </w:rPr>
        <w:t xml:space="preserve">Regelboken innehåller “Handbollsdomarens 10 punkter” som är en central del av domarutbildningen. Dessa sammanfattar domarens förhållningssätt och centrala principer. Dokumentet finns som separat bilaga i regelboken (sid 91–92 i 2022 års utgåva). Punkterna täcker bl.a.:</w:t>
      </w:r>
    </w:p>
    <w:p>
      <w:pPr>
        <w:pStyle w:val="ListParagraph"/>
        <w:numPr>
          <w:ilvl w:val="0"/>
          <w:numId w:val="2"/>
        </w:numPr>
        <w:spacing w:after="60"/>
      </w:pPr>
      <w:r>
        <w:rPr>
          <w:rFonts w:ascii="Arial" w:cs="Arial" w:eastAsia="Arial" w:hAnsi="Arial"/>
          <w:sz w:val="22"/>
          <w:szCs w:val="22"/>
        </w:rPr>
        <w:t xml:space="preserve">Regelkunnande och tolkning</w:t>
      </w:r>
    </w:p>
    <w:p>
      <w:pPr>
        <w:pStyle w:val="ListParagraph"/>
        <w:numPr>
          <w:ilvl w:val="0"/>
          <w:numId w:val="2"/>
        </w:numPr>
        <w:spacing w:after="60"/>
      </w:pPr>
      <w:r>
        <w:rPr>
          <w:rFonts w:ascii="Arial" w:cs="Arial" w:eastAsia="Arial" w:hAnsi="Arial"/>
          <w:sz w:val="22"/>
          <w:szCs w:val="22"/>
        </w:rPr>
        <w:t xml:space="preserve">Fördelstanke (advantage)</w:t>
      </w:r>
    </w:p>
    <w:p>
      <w:pPr>
        <w:pStyle w:val="ListParagraph"/>
        <w:numPr>
          <w:ilvl w:val="0"/>
          <w:numId w:val="2"/>
        </w:numPr>
        <w:spacing w:after="60"/>
      </w:pPr>
      <w:r>
        <w:rPr>
          <w:rFonts w:ascii="Arial" w:cs="Arial" w:eastAsia="Arial" w:hAnsi="Arial"/>
          <w:sz w:val="22"/>
          <w:szCs w:val="22"/>
        </w:rPr>
        <w:t xml:space="preserve">Konsekvent bedömning</w:t>
      </w:r>
    </w:p>
    <w:p>
      <w:pPr>
        <w:pStyle w:val="ListParagraph"/>
        <w:numPr>
          <w:ilvl w:val="0"/>
          <w:numId w:val="2"/>
        </w:numPr>
        <w:spacing w:after="60"/>
      </w:pPr>
      <w:r>
        <w:rPr>
          <w:rFonts w:ascii="Arial" w:cs="Arial" w:eastAsia="Arial" w:hAnsi="Arial"/>
          <w:sz w:val="22"/>
          <w:szCs w:val="22"/>
        </w:rPr>
        <w:t xml:space="preserve">Kommunikation och ledarskap</w:t>
      </w:r>
    </w:p>
    <w:p>
      <w:pPr>
        <w:pStyle w:val="ListParagraph"/>
        <w:numPr>
          <w:ilvl w:val="0"/>
          <w:numId w:val="2"/>
        </w:numPr>
        <w:spacing w:after="60"/>
      </w:pPr>
      <w:r>
        <w:rPr>
          <w:rFonts w:ascii="Arial" w:cs="Arial" w:eastAsia="Arial" w:hAnsi="Arial"/>
          <w:sz w:val="22"/>
          <w:szCs w:val="22"/>
        </w:rPr>
        <w:t xml:space="preserve">Mod att fatta svåra beslut</w:t>
      </w:r>
    </w:p>
    <w:p>
      <w:pPr>
        <w:pStyle w:val="ListParagraph"/>
        <w:numPr>
          <w:ilvl w:val="0"/>
          <w:numId w:val="2"/>
        </w:numPr>
        <w:spacing w:after="60"/>
      </w:pPr>
      <w:r>
        <w:rPr>
          <w:rFonts w:ascii="Arial" w:cs="Arial" w:eastAsia="Arial" w:hAnsi="Arial"/>
          <w:sz w:val="22"/>
          <w:szCs w:val="22"/>
        </w:rPr>
        <w:t xml:space="preserve">Samarbete mellan domarparet</w:t>
      </w:r>
    </w:p>
    <w:p>
      <w:pPr>
        <w:pStyle w:val="Heading1"/>
      </w:pPr>
      <w:r>
        <w:t xml:space="preserve">9. Matchadministration</w:t>
      </w:r>
    </w:p>
    <w:p>
      <w:pPr>
        <w:pStyle w:val="Heading2"/>
      </w:pPr>
      <w:r>
        <w:t xml:space="preserve">9.1 Elektroniskt matchprotokoll (EMP)</w:t>
      </w:r>
    </w:p>
    <w:p>
      <w:pPr>
        <w:spacing w:after="120"/>
      </w:pPr>
      <w:r>
        <w:rPr>
          <w:rFonts w:ascii="Arial" w:cs="Arial" w:eastAsia="Arial" w:hAnsi="Arial"/>
          <w:sz w:val="22"/>
          <w:szCs w:val="22"/>
        </w:rPr>
        <w:t xml:space="preserve">I svensk handboll används EMP (Elektroniskt matchprotokoll) för matchdokumentation. Domaren ansvarar för att protokollet är korrekt ifyllt.</w:t>
      </w:r>
    </w:p>
    <w:p>
      <w:pPr>
        <w:pStyle w:val="Heading2"/>
      </w:pPr>
      <w:r>
        <w:t xml:space="preserve">9.2 Tidtagare och sekreterare (Regel 18)</w:t>
      </w:r>
    </w:p>
    <w:p>
      <w:pPr>
        <w:spacing w:after="120"/>
      </w:pPr>
      <w:r>
        <w:rPr>
          <w:rFonts w:ascii="Arial" w:cs="Arial" w:eastAsia="Arial" w:hAnsi="Arial"/>
          <w:sz w:val="22"/>
          <w:szCs w:val="22"/>
        </w:rPr>
        <w:t xml:space="preserve">Tidtagaren ansvarar för matchklockan, tidtagarens slutsignal stoppar spelet. Sekreteraren för matchprotokollet och hanterar utvisningar (räknar 2 min). PM för tidtagare och sekreterare finns i regelboken.</w:t>
      </w:r>
    </w:p>
    <w:p>
      <w:pPr>
        <w:pStyle w:val="Heading2"/>
      </w:pPr>
      <w:r>
        <w:t xml:space="preserve">9.3 Matchvärd</w:t>
      </w:r>
    </w:p>
    <w:p>
      <w:pPr>
        <w:spacing w:after="120"/>
      </w:pPr>
      <w:r>
        <w:rPr>
          <w:rFonts w:ascii="Arial" w:cs="Arial" w:eastAsia="Arial" w:hAnsi="Arial"/>
          <w:sz w:val="22"/>
          <w:szCs w:val="22"/>
        </w:rPr>
        <w:t xml:space="preserve">Enligt TBBU ska det finnas minst en matchvärd vid alla barn- och ungdomsmatcher (t.o.m. U19). Matchvärden ska vara över 18 år, bära matchvärdsväst och vara ett stöd för domare och funktionärer. Matchvärden får dock INTE avbryta en match – det är domaren som bestämmer på planen.</w:t>
      </w:r>
    </w:p>
    <w:p>
      <w:pPr>
        <w:pStyle w:val="Heading2"/>
      </w:pPr>
      <w:r>
        <w:t xml:space="preserve">9.4 Timeout-regler</w:t>
      </w:r>
    </w:p>
    <w:p>
      <w:pPr>
        <w:spacing w:after="120"/>
      </w:pPr>
      <w:r>
        <w:rPr>
          <w:rFonts w:ascii="Arial" w:cs="Arial" w:eastAsia="Arial" w:hAnsi="Arial"/>
          <w:sz w:val="22"/>
          <w:szCs w:val="22"/>
        </w:rPr>
        <w:t xml:space="preserve">Varje lag har rätt till lagtimeout. För U15–U16 gäller två lagtimeouter per lag och match. För seniorer gäller IHF:s regler för timeout.</w:t>
      </w:r>
    </w:p>
    <w:p>
      <w:pPr>
        <w:pStyle w:val="Heading1"/>
      </w:pPr>
      <w:r>
        <w:t xml:space="preserve">10. Fysiska krav för domare</w:t>
      </w:r>
    </w:p>
    <w:p>
      <w:pPr>
        <w:spacing w:after="120"/>
      </w:pPr>
      <w:r>
        <w:rPr>
          <w:rFonts w:ascii="Arial" w:cs="Arial" w:eastAsia="Arial" w:hAnsi="Arial"/>
          <w:sz w:val="22"/>
          <w:szCs w:val="22"/>
        </w:rPr>
        <w:t xml:space="preserve">För domare på DU8-nivå (elitdomare) måste man klara fysiska krav som ställs av SHF:s Domar- och funktionärskommitté. Kraven speglar handbollens arbetskrav där domarna behöver:</w:t>
      </w:r>
    </w:p>
    <w:p>
      <w:pPr>
        <w:pStyle w:val="ListParagraph"/>
        <w:numPr>
          <w:ilvl w:val="0"/>
          <w:numId w:val="2"/>
        </w:numPr>
        <w:spacing w:after="60"/>
      </w:pPr>
      <w:r>
        <w:rPr>
          <w:rFonts w:ascii="Arial" w:cs="Arial" w:eastAsia="Arial" w:hAnsi="Arial"/>
          <w:sz w:val="22"/>
          <w:szCs w:val="22"/>
        </w:rPr>
        <w:t xml:space="preserve">God aerob uthållighet för att hålla igång under hela matchen</w:t>
      </w:r>
    </w:p>
    <w:p>
      <w:pPr>
        <w:pStyle w:val="ListParagraph"/>
        <w:numPr>
          <w:ilvl w:val="0"/>
          <w:numId w:val="2"/>
        </w:numPr>
        <w:spacing w:after="60"/>
      </w:pPr>
      <w:r>
        <w:rPr>
          <w:rFonts w:ascii="Arial" w:cs="Arial" w:eastAsia="Arial" w:hAnsi="Arial"/>
          <w:sz w:val="22"/>
          <w:szCs w:val="22"/>
        </w:rPr>
        <w:t xml:space="preserve">Snabbhet och acceleration för snabba växlingar</w:t>
      </w:r>
    </w:p>
    <w:p>
      <w:pPr>
        <w:pStyle w:val="ListParagraph"/>
        <w:numPr>
          <w:ilvl w:val="0"/>
          <w:numId w:val="2"/>
        </w:numPr>
        <w:spacing w:after="60"/>
      </w:pPr>
      <w:r>
        <w:rPr>
          <w:rFonts w:ascii="Arial" w:cs="Arial" w:eastAsia="Arial" w:hAnsi="Arial"/>
          <w:sz w:val="22"/>
          <w:szCs w:val="22"/>
        </w:rPr>
        <w:t xml:space="preserve">God rörelsemönster och koordination för att positionera sig korrekt</w:t>
      </w:r>
    </w:p>
    <w:p>
      <w:pPr>
        <w:spacing w:after="120"/>
      </w:pPr>
      <w:r>
        <w:rPr>
          <w:rFonts w:ascii="Arial" w:cs="Arial" w:eastAsia="Arial" w:hAnsi="Arial"/>
          <w:sz w:val="22"/>
          <w:szCs w:val="22"/>
        </w:rPr>
        <w:t xml:space="preserve">SHF har tillsammans med SOK tagit fram en kravprofil för spelare som inkluderar Yo-Yo Recovery Test, styrketester och sprinttester. Liknande krav appliceras på elitdomare.</w:t>
      </w:r>
    </w:p>
    <w:p>
      <w:pPr>
        <w:pStyle w:val="Heading1"/>
      </w:pPr>
      <w:r>
        <w:t xml:space="preserve">11. Shoot Out / Straffkast vid oavgjort</w:t>
      </w:r>
    </w:p>
    <w:p>
      <w:pPr>
        <w:spacing w:after="120"/>
      </w:pPr>
      <w:r>
        <w:rPr>
          <w:rFonts w:ascii="Arial" w:cs="Arial" w:eastAsia="Arial" w:hAnsi="Arial"/>
          <w:sz w:val="22"/>
          <w:szCs w:val="22"/>
        </w:rPr>
        <w:t xml:space="preserve">Vid oavgjort resultat där en vinnare måste utses används följande procedur:</w:t>
      </w:r>
    </w:p>
    <w:p>
      <w:pPr>
        <w:pStyle w:val="ListParagraph"/>
        <w:numPr>
          <w:ilvl w:val="0"/>
          <w:numId w:val="3"/>
        </w:numPr>
        <w:spacing w:after="60"/>
      </w:pPr>
      <w:r>
        <w:rPr>
          <w:rFonts w:ascii="Arial" w:cs="Arial" w:eastAsia="Arial" w:hAnsi="Arial"/>
          <w:sz w:val="22"/>
          <w:szCs w:val="22"/>
        </w:rPr>
        <w:t xml:space="preserve">Varje lag nominerar 5 spelare som kastar alternerande.</w:t>
      </w:r>
    </w:p>
    <w:p>
      <w:pPr>
        <w:pStyle w:val="ListParagraph"/>
        <w:numPr>
          <w:ilvl w:val="0"/>
          <w:numId w:val="3"/>
        </w:numPr>
        <w:spacing w:after="60"/>
      </w:pPr>
      <w:r>
        <w:rPr>
          <w:rFonts w:ascii="Arial" w:cs="Arial" w:eastAsia="Arial" w:hAnsi="Arial"/>
          <w:sz w:val="22"/>
          <w:szCs w:val="22"/>
        </w:rPr>
        <w:t xml:space="preserve">Domarna gör en slantsingling – vinnande lag väljer om de kastar först eller sist.</w:t>
      </w:r>
    </w:p>
    <w:p>
      <w:pPr>
        <w:pStyle w:val="ListParagraph"/>
        <w:numPr>
          <w:ilvl w:val="0"/>
          <w:numId w:val="3"/>
        </w:numPr>
        <w:spacing w:after="60"/>
      </w:pPr>
      <w:r>
        <w:rPr>
          <w:rFonts w:ascii="Arial" w:cs="Arial" w:eastAsia="Arial" w:hAnsi="Arial"/>
          <w:sz w:val="22"/>
          <w:szCs w:val="22"/>
        </w:rPr>
        <w:t xml:space="preserve">Om oavgjort efter 5 kast vardera: ny omgång med 5 nya (eller samma) spelare.</w:t>
      </w:r>
    </w:p>
    <w:p>
      <w:pPr>
        <w:pStyle w:val="ListParagraph"/>
        <w:numPr>
          <w:ilvl w:val="0"/>
          <w:numId w:val="3"/>
        </w:numPr>
        <w:spacing w:after="60"/>
      </w:pPr>
      <w:r>
        <w:rPr>
          <w:rFonts w:ascii="Arial" w:cs="Arial" w:eastAsia="Arial" w:hAnsi="Arial"/>
          <w:sz w:val="22"/>
          <w:szCs w:val="22"/>
        </w:rPr>
        <w:t xml:space="preserve">Segraren utses så snart målskillnad uppstår när lagen gjort lika många kast.</w:t>
      </w:r>
    </w:p>
    <w:p>
      <w:pPr>
        <w:pStyle w:val="ListParagraph"/>
        <w:numPr>
          <w:ilvl w:val="0"/>
          <w:numId w:val="3"/>
        </w:numPr>
        <w:spacing w:after="60"/>
      </w:pPr>
      <w:r>
        <w:rPr>
          <w:rFonts w:ascii="Arial" w:cs="Arial" w:eastAsia="Arial" w:hAnsi="Arial"/>
          <w:sz w:val="22"/>
          <w:szCs w:val="22"/>
        </w:rPr>
        <w:t xml:space="preserve">Målvakter kan fritt väljas och bytas. Spelare får agera både kastare och målvakt.</w:t>
      </w:r>
    </w:p>
    <w:p>
      <w:pPr>
        <w:pStyle w:val="Heading1"/>
      </w:pPr>
      <w:r>
        <w:t xml:space="preserve">12. Jävsregler för domare</w:t>
      </w:r>
    </w:p>
    <w:p>
      <w:pPr>
        <w:spacing w:after="120"/>
      </w:pPr>
      <w:r>
        <w:rPr>
          <w:rFonts w:ascii="Arial" w:cs="Arial" w:eastAsia="Arial" w:hAnsi="Arial"/>
          <w:sz w:val="22"/>
          <w:szCs w:val="22"/>
        </w:rPr>
        <w:t xml:space="preserve">TBBU innehåller regler kring jäv (Bilaga 2). En domare får inte döma matcher där jäv föreligger, t.ex. om domaren tillhör något av de spelande lagen. För DU1–DU4 gäller SDF:s lokala bestämmelser kring jäv.</w:t>
      </w:r>
    </w:p>
    <w:p>
      <w:pPr>
        <w:pStyle w:val="Heading1"/>
      </w:pPr>
      <w:r>
        <w:t xml:space="preserve">13. Domararvode och praktisk information</w:t>
      </w:r>
    </w:p>
    <w:p>
      <w:pPr>
        <w:spacing w:after="120"/>
      </w:pPr>
      <w:r>
        <w:rPr>
          <w:rFonts w:ascii="Arial" w:cs="Arial" w:eastAsia="Arial" w:hAnsi="Arial"/>
          <w:sz w:val="22"/>
          <w:szCs w:val="22"/>
        </w:rPr>
        <w:t xml:space="preserve">Domaruppdrag ger rätt till ersättning. Arvode utbetalas efter dömd match till angivet bankkonto via Cleverservice (administrationssystem). Hur detta fungerar är en del av domarutbildningen.</w:t>
      </w:r>
    </w:p>
    <w:p>
      <w:pPr>
        <w:spacing w:after="120"/>
      </w:pPr>
      <w:r>
        <w:rPr>
          <w:rFonts w:ascii="Arial" w:cs="Arial" w:eastAsia="Arial" w:hAnsi="Arial"/>
          <w:sz w:val="22"/>
          <w:szCs w:val="22"/>
        </w:rPr>
        <w:t xml:space="preserve">Legitimationstiden ser olika ut för olika steg: DU1–DU2 kräver uppdatering vart fjärde år, DU3–DU8 kräver årlig uppdatering. Efter att legitimationstiden löpt ut behöver domaren genomföra ny utbildning.</w:t>
      </w:r>
    </w:p>
    <w:p>
      <w:pPr>
        <w:pStyle w:val="Heading1"/>
      </w:pPr>
      <w:r>
        <w:t xml:space="preserve">14. Källor och utbildningsresurser</w:t>
      </w:r>
    </w:p>
    <w:p>
      <w:pPr>
        <w:pStyle w:val="Heading2"/>
      </w:pPr>
      <w:r>
        <w:t xml:space="preserve">14.1 Officiella dokument från SHF</w:t>
      </w:r>
    </w:p>
    <w:p>
      <w:pPr>
        <w:pStyle w:val="ListParagraph"/>
        <w:numPr>
          <w:ilvl w:val="0"/>
          <w:numId w:val="2"/>
        </w:numPr>
        <w:spacing w:after="60"/>
      </w:pPr>
      <w:r>
        <w:rPr>
          <w:rFonts w:ascii="Arial" w:cs="Arial" w:eastAsia="Arial" w:hAnsi="Arial"/>
          <w:sz w:val="22"/>
          <w:szCs w:val="22"/>
        </w:rPr>
        <w:t xml:space="preserve">Regelboken (Spelregler för handboll) – fullständig regeltext med kommentarer</w:t>
      </w:r>
    </w:p>
    <w:p>
      <w:pPr>
        <w:pStyle w:val="ListParagraph"/>
        <w:numPr>
          <w:ilvl w:val="0"/>
          <w:numId w:val="2"/>
        </w:numPr>
        <w:spacing w:after="60"/>
      </w:pPr>
      <w:r>
        <w:rPr>
          <w:rFonts w:ascii="Arial" w:cs="Arial" w:eastAsia="Arial" w:hAnsi="Arial"/>
          <w:sz w:val="22"/>
          <w:szCs w:val="22"/>
        </w:rPr>
        <w:t xml:space="preserve">Domartecken (bilaga till regelboken)</w:t>
      </w:r>
    </w:p>
    <w:p>
      <w:pPr>
        <w:pStyle w:val="ListParagraph"/>
        <w:numPr>
          <w:ilvl w:val="0"/>
          <w:numId w:val="2"/>
        </w:numPr>
        <w:spacing w:after="60"/>
      </w:pPr>
      <w:r>
        <w:rPr>
          <w:rFonts w:ascii="Arial" w:cs="Arial" w:eastAsia="Arial" w:hAnsi="Arial"/>
          <w:sz w:val="22"/>
          <w:szCs w:val="22"/>
        </w:rPr>
        <w:t xml:space="preserve">Klärlägganden till spelreglerna</w:t>
      </w:r>
    </w:p>
    <w:p>
      <w:pPr>
        <w:pStyle w:val="ListParagraph"/>
        <w:numPr>
          <w:ilvl w:val="0"/>
          <w:numId w:val="2"/>
        </w:numPr>
        <w:spacing w:after="60"/>
      </w:pPr>
      <w:r>
        <w:rPr>
          <w:rFonts w:ascii="Arial" w:cs="Arial" w:eastAsia="Arial" w:hAnsi="Arial"/>
          <w:sz w:val="22"/>
          <w:szCs w:val="22"/>
        </w:rPr>
        <w:t xml:space="preserve">Reglemente rörande avbytarområdet</w:t>
      </w:r>
    </w:p>
    <w:p>
      <w:pPr>
        <w:pStyle w:val="ListParagraph"/>
        <w:numPr>
          <w:ilvl w:val="0"/>
          <w:numId w:val="2"/>
        </w:numPr>
        <w:spacing w:after="60"/>
      </w:pPr>
      <w:r>
        <w:rPr>
          <w:rFonts w:ascii="Arial" w:cs="Arial" w:eastAsia="Arial" w:hAnsi="Arial"/>
          <w:sz w:val="22"/>
          <w:szCs w:val="22"/>
        </w:rPr>
        <w:t xml:space="preserve">Riktlinjer och tolkningar</w:t>
      </w:r>
    </w:p>
    <w:p>
      <w:pPr>
        <w:pStyle w:val="ListParagraph"/>
        <w:numPr>
          <w:ilvl w:val="0"/>
          <w:numId w:val="2"/>
        </w:numPr>
        <w:spacing w:after="60"/>
      </w:pPr>
      <w:r>
        <w:rPr>
          <w:rFonts w:ascii="Arial" w:cs="Arial" w:eastAsia="Arial" w:hAnsi="Arial"/>
          <w:sz w:val="22"/>
          <w:szCs w:val="22"/>
        </w:rPr>
        <w:t xml:space="preserve">Riktlinjer för spelplan och mål</w:t>
      </w:r>
    </w:p>
    <w:p>
      <w:pPr>
        <w:pStyle w:val="ListParagraph"/>
        <w:numPr>
          <w:ilvl w:val="0"/>
          <w:numId w:val="2"/>
        </w:numPr>
        <w:spacing w:after="60"/>
      </w:pPr>
      <w:r>
        <w:rPr>
          <w:rFonts w:ascii="Arial" w:cs="Arial" w:eastAsia="Arial" w:hAnsi="Arial"/>
          <w:sz w:val="22"/>
          <w:szCs w:val="22"/>
        </w:rPr>
        <w:t xml:space="preserve">Shoot Out – Regler och utförande</w:t>
      </w:r>
    </w:p>
    <w:p>
      <w:pPr>
        <w:pStyle w:val="ListParagraph"/>
        <w:numPr>
          <w:ilvl w:val="0"/>
          <w:numId w:val="2"/>
        </w:numPr>
        <w:spacing w:after="60"/>
      </w:pPr>
      <w:r>
        <w:rPr>
          <w:rFonts w:ascii="Arial" w:cs="Arial" w:eastAsia="Arial" w:hAnsi="Arial"/>
          <w:sz w:val="22"/>
          <w:szCs w:val="22"/>
        </w:rPr>
        <w:t xml:space="preserve">Handbollsdomarens 10 punkter</w:t>
      </w:r>
    </w:p>
    <w:p>
      <w:pPr>
        <w:pStyle w:val="ListParagraph"/>
        <w:numPr>
          <w:ilvl w:val="0"/>
          <w:numId w:val="2"/>
        </w:numPr>
        <w:spacing w:after="60"/>
      </w:pPr>
      <w:r>
        <w:rPr>
          <w:rFonts w:ascii="Arial" w:cs="Arial" w:eastAsia="Arial" w:hAnsi="Arial"/>
          <w:sz w:val="22"/>
          <w:szCs w:val="22"/>
        </w:rPr>
        <w:t xml:space="preserve">PM för domare</w:t>
      </w:r>
    </w:p>
    <w:p>
      <w:pPr>
        <w:pStyle w:val="ListParagraph"/>
        <w:numPr>
          <w:ilvl w:val="0"/>
          <w:numId w:val="2"/>
        </w:numPr>
        <w:spacing w:after="60"/>
      </w:pPr>
      <w:r>
        <w:rPr>
          <w:rFonts w:ascii="Arial" w:cs="Arial" w:eastAsia="Arial" w:hAnsi="Arial"/>
          <w:sz w:val="22"/>
          <w:szCs w:val="22"/>
        </w:rPr>
        <w:t xml:space="preserve">PM för tidtagare och sekreterare</w:t>
      </w:r>
    </w:p>
    <w:p>
      <w:pPr>
        <w:pStyle w:val="ListParagraph"/>
        <w:numPr>
          <w:ilvl w:val="0"/>
          <w:numId w:val="2"/>
        </w:numPr>
        <w:spacing w:after="60"/>
      </w:pPr>
      <w:r>
        <w:rPr>
          <w:rFonts w:ascii="Arial" w:cs="Arial" w:eastAsia="Arial" w:hAnsi="Arial"/>
          <w:sz w:val="22"/>
          <w:szCs w:val="22"/>
        </w:rPr>
        <w:t xml:space="preserve">PM för föreningar</w:t>
      </w:r>
    </w:p>
    <w:p>
      <w:pPr>
        <w:pStyle w:val="ListParagraph"/>
        <w:numPr>
          <w:ilvl w:val="0"/>
          <w:numId w:val="2"/>
        </w:numPr>
        <w:spacing w:after="60"/>
      </w:pPr>
      <w:r>
        <w:rPr>
          <w:rFonts w:ascii="Arial" w:cs="Arial" w:eastAsia="Arial" w:hAnsi="Arial"/>
          <w:sz w:val="22"/>
          <w:szCs w:val="22"/>
        </w:rPr>
        <w:t xml:space="preserve">TBBU (Tävlingsbestämmelser för barn och ungdom) 2024–2025</w:t>
      </w:r>
    </w:p>
    <w:p>
      <w:pPr>
        <w:pStyle w:val="ListParagraph"/>
        <w:numPr>
          <w:ilvl w:val="0"/>
          <w:numId w:val="2"/>
        </w:numPr>
        <w:spacing w:after="60"/>
      </w:pPr>
      <w:r>
        <w:rPr>
          <w:rFonts w:ascii="Arial" w:cs="Arial" w:eastAsia="Arial" w:hAnsi="Arial"/>
          <w:sz w:val="22"/>
          <w:szCs w:val="22"/>
        </w:rPr>
        <w:t xml:space="preserve">Tävlingsbestämmelser (TB) 2024–2025</w:t>
      </w:r>
    </w:p>
    <w:p>
      <w:pPr>
        <w:pStyle w:val="ListParagraph"/>
        <w:numPr>
          <w:ilvl w:val="0"/>
          <w:numId w:val="2"/>
        </w:numPr>
        <w:spacing w:after="60"/>
      </w:pPr>
      <w:r>
        <w:rPr>
          <w:rFonts w:ascii="Arial" w:cs="Arial" w:eastAsia="Arial" w:hAnsi="Arial"/>
          <w:sz w:val="22"/>
          <w:szCs w:val="22"/>
        </w:rPr>
        <w:t xml:space="preserve">Tävlingshandboken (THB) 2024–2025</w:t>
      </w:r>
    </w:p>
    <w:p>
      <w:pPr>
        <w:pStyle w:val="ListParagraph"/>
        <w:numPr>
          <w:ilvl w:val="0"/>
          <w:numId w:val="2"/>
        </w:numPr>
        <w:spacing w:after="60"/>
      </w:pPr>
      <w:r>
        <w:rPr>
          <w:rFonts w:ascii="Arial" w:cs="Arial" w:eastAsia="Arial" w:hAnsi="Arial"/>
          <w:sz w:val="22"/>
          <w:szCs w:val="22"/>
        </w:rPr>
        <w:t xml:space="preserve">Särskilda spelregler för minihandboll</w:t>
      </w:r>
    </w:p>
    <w:p>
      <w:pPr>
        <w:pStyle w:val="Heading2"/>
      </w:pPr>
      <w:r>
        <w:t xml:space="preserve">14.2 Digitala plattformar</w:t>
      </w:r>
    </w:p>
    <w:p>
      <w:pPr>
        <w:pStyle w:val="ListParagraph"/>
        <w:numPr>
          <w:ilvl w:val="0"/>
          <w:numId w:val="2"/>
        </w:numPr>
        <w:spacing w:after="60"/>
      </w:pPr>
      <w:r>
        <w:rPr>
          <w:rFonts w:ascii="Arial" w:cs="Arial" w:eastAsia="Arial" w:hAnsi="Arial"/>
          <w:sz w:val="22"/>
          <w:szCs w:val="22"/>
        </w:rPr>
        <w:t xml:space="preserve">Kunskapsarenan (kunskapsarenan.se/handboll) – SHF:s utbildningsplattform för digitala kurser</w:t>
      </w:r>
    </w:p>
    <w:p>
      <w:pPr>
        <w:pStyle w:val="ListParagraph"/>
        <w:numPr>
          <w:ilvl w:val="0"/>
          <w:numId w:val="2"/>
        </w:numPr>
        <w:spacing w:after="60"/>
      </w:pPr>
      <w:r>
        <w:rPr>
          <w:rFonts w:ascii="Arial" w:cs="Arial" w:eastAsia="Arial" w:hAnsi="Arial"/>
          <w:sz w:val="22"/>
          <w:szCs w:val="22"/>
        </w:rPr>
        <w:t xml:space="preserve">Profixio (profixio.com) – Matchhantering och domartillsättning (från DU3)</w:t>
      </w:r>
    </w:p>
    <w:p>
      <w:pPr>
        <w:pStyle w:val="ListParagraph"/>
        <w:numPr>
          <w:ilvl w:val="0"/>
          <w:numId w:val="2"/>
        </w:numPr>
        <w:spacing w:after="60"/>
      </w:pPr>
      <w:r>
        <w:rPr>
          <w:rFonts w:ascii="Arial" w:cs="Arial" w:eastAsia="Arial" w:hAnsi="Arial"/>
          <w:sz w:val="22"/>
          <w:szCs w:val="22"/>
        </w:rPr>
        <w:t xml:space="preserve">Domarutbildningsportalen – För fortbildning och fördjupning</w:t>
      </w:r>
    </w:p>
    <w:p>
      <w:pPr>
        <w:pStyle w:val="Heading2"/>
      </w:pPr>
      <w:r>
        <w:t xml:space="preserve">14.3 Nyckel-URL:er</w:t>
      </w:r>
    </w:p>
    <w:p>
      <w:pPr>
        <w:pStyle w:val="ListParagraph"/>
        <w:numPr>
          <w:ilvl w:val="0"/>
          <w:numId w:val="2"/>
        </w:numPr>
        <w:spacing w:after="60"/>
      </w:pPr>
      <w:r>
        <w:rPr>
          <w:rFonts w:ascii="Arial" w:cs="Arial" w:eastAsia="Arial" w:hAnsi="Arial"/>
          <w:sz w:val="22"/>
          <w:szCs w:val="22"/>
        </w:rPr>
        <w:t xml:space="preserve">Spelregler: svenskhandboll.se/handboll-i-sverige/domare--funktionar/spelregler</w:t>
      </w:r>
    </w:p>
    <w:p>
      <w:pPr>
        <w:pStyle w:val="ListParagraph"/>
        <w:numPr>
          <w:ilvl w:val="0"/>
          <w:numId w:val="2"/>
        </w:numPr>
        <w:spacing w:after="60"/>
      </w:pPr>
      <w:r>
        <w:rPr>
          <w:rFonts w:ascii="Arial" w:cs="Arial" w:eastAsia="Arial" w:hAnsi="Arial"/>
          <w:sz w:val="22"/>
          <w:szCs w:val="22"/>
        </w:rPr>
        <w:t xml:space="preserve">Minihandbollsregler: svenskhandboll.se/handboll-i-sverige/domare--funktionar/spelregler/spelregler-for-minihandboll</w:t>
      </w:r>
    </w:p>
    <w:p>
      <w:pPr>
        <w:pStyle w:val="ListParagraph"/>
        <w:numPr>
          <w:ilvl w:val="0"/>
          <w:numId w:val="2"/>
        </w:numPr>
        <w:spacing w:after="60"/>
      </w:pPr>
      <w:r>
        <w:rPr>
          <w:rFonts w:ascii="Arial" w:cs="Arial" w:eastAsia="Arial" w:hAnsi="Arial"/>
          <w:sz w:val="22"/>
          <w:szCs w:val="22"/>
        </w:rPr>
        <w:t xml:space="preserve">Regelbok PDF (2025): handbollost.se (senaste versionen)</w:t>
      </w:r>
    </w:p>
    <w:p>
      <w:pPr>
        <w:pStyle w:val="ListParagraph"/>
        <w:numPr>
          <w:ilvl w:val="0"/>
          <w:numId w:val="2"/>
        </w:numPr>
        <w:spacing w:after="60"/>
      </w:pPr>
      <w:r>
        <w:rPr>
          <w:rFonts w:ascii="Arial" w:cs="Arial" w:eastAsia="Arial" w:hAnsi="Arial"/>
          <w:sz w:val="22"/>
          <w:szCs w:val="22"/>
        </w:rPr>
        <w:t xml:space="preserve">Domartecken PDF: svenskhandboll.se/download/.../Domartecken.pdf</w:t>
      </w:r>
    </w:p>
    <w:p>
      <w:pPr>
        <w:pStyle w:val="ListParagraph"/>
        <w:numPr>
          <w:ilvl w:val="0"/>
          <w:numId w:val="2"/>
        </w:numPr>
        <w:spacing w:after="60"/>
      </w:pPr>
      <w:r>
        <w:rPr>
          <w:rFonts w:ascii="Arial" w:cs="Arial" w:eastAsia="Arial" w:hAnsi="Arial"/>
          <w:sz w:val="22"/>
          <w:szCs w:val="22"/>
        </w:rPr>
        <w:t xml:space="preserve">TBBU 2024–2025: svenskhandboll.se/handboll-i-sverige/tavling/tavlingsbestammelser-for-barn--ungdom</w:t>
      </w:r>
    </w:p>
    <w:p>
      <w:pPr>
        <w:pStyle w:val="Heading1"/>
      </w:pPr>
      <w:r>
        <w:t xml:space="preserve">15. Förslag på utbildningsstruktur</w:t>
      </w:r>
    </w:p>
    <w:p>
      <w:pPr>
        <w:spacing w:after="120"/>
      </w:pPr>
      <w:r>
        <w:rPr>
          <w:rFonts w:ascii="Arial" w:cs="Arial" w:eastAsia="Arial" w:hAnsi="Arial"/>
          <w:sz w:val="22"/>
          <w:szCs w:val="22"/>
        </w:rPr>
        <w:t xml:space="preserve">Baserat på ovanstående research följer här ett förslag på hur en komplett domarutbildning kan struktureras:</w:t>
      </w:r>
    </w:p>
    <w:p>
      <w:pPr>
        <w:pStyle w:val="Heading2"/>
      </w:pPr>
      <w:r>
        <w:t xml:space="preserve">Modul 1: Grundutbildning (motsvara DU1–2)</w:t>
      </w:r>
    </w:p>
    <w:p>
      <w:pPr>
        <w:pStyle w:val="ListParagraph"/>
        <w:numPr>
          <w:ilvl w:val="0"/>
          <w:numId w:val="2"/>
        </w:numPr>
        <w:spacing w:after="60"/>
      </w:pPr>
      <w:r>
        <w:rPr>
          <w:rFonts w:ascii="Arial" w:cs="Arial" w:eastAsia="Arial" w:hAnsi="Arial"/>
          <w:sz w:val="22"/>
          <w:szCs w:val="22"/>
        </w:rPr>
        <w:t xml:space="preserve">Målgrupp: Från 14 år, inga förkunskaper</w:t>
      </w:r>
    </w:p>
    <w:p>
      <w:pPr>
        <w:pStyle w:val="ListParagraph"/>
        <w:numPr>
          <w:ilvl w:val="0"/>
          <w:numId w:val="2"/>
        </w:numPr>
        <w:spacing w:after="60"/>
      </w:pPr>
      <w:r>
        <w:rPr>
          <w:rFonts w:ascii="Arial" w:cs="Arial" w:eastAsia="Arial" w:hAnsi="Arial"/>
          <w:sz w:val="22"/>
          <w:szCs w:val="22"/>
        </w:rPr>
        <w:t xml:space="preserve">Innehåll: Grundläggande regler (Regel 1–18 förenklad), minihandbollsregler, grundläggande domartecken, positionering på miniplan/kortplan, praktisk matchträning</w:t>
      </w:r>
    </w:p>
    <w:p>
      <w:pPr>
        <w:pStyle w:val="ListParagraph"/>
        <w:numPr>
          <w:ilvl w:val="0"/>
          <w:numId w:val="2"/>
        </w:numPr>
        <w:spacing w:after="60"/>
      </w:pPr>
      <w:r>
        <w:rPr>
          <w:rFonts w:ascii="Arial" w:cs="Arial" w:eastAsia="Arial" w:hAnsi="Arial"/>
          <w:sz w:val="22"/>
          <w:szCs w:val="22"/>
        </w:rPr>
        <w:t xml:space="preserve">Behörighet: Döma minihandboll och ungdomsmatcher t.o.m. U13</w:t>
      </w:r>
    </w:p>
    <w:p>
      <w:pPr>
        <w:pStyle w:val="Heading2"/>
      </w:pPr>
      <w:r>
        <w:t xml:space="preserve">Modul 2: Ungdomsdomare (motsvara DU3)</w:t>
      </w:r>
    </w:p>
    <w:p>
      <w:pPr>
        <w:pStyle w:val="ListParagraph"/>
        <w:numPr>
          <w:ilvl w:val="0"/>
          <w:numId w:val="2"/>
        </w:numPr>
        <w:spacing w:after="60"/>
      </w:pPr>
      <w:r>
        <w:rPr>
          <w:rFonts w:ascii="Arial" w:cs="Arial" w:eastAsia="Arial" w:hAnsi="Arial"/>
          <w:sz w:val="22"/>
          <w:szCs w:val="22"/>
        </w:rPr>
        <w:t xml:space="preserve">Förkunskapskrav: Godkänd Modul 1</w:t>
      </w:r>
    </w:p>
    <w:p>
      <w:pPr>
        <w:pStyle w:val="ListParagraph"/>
        <w:numPr>
          <w:ilvl w:val="0"/>
          <w:numId w:val="2"/>
        </w:numPr>
        <w:spacing w:after="60"/>
      </w:pPr>
      <w:r>
        <w:rPr>
          <w:rFonts w:ascii="Arial" w:cs="Arial" w:eastAsia="Arial" w:hAnsi="Arial"/>
          <w:sz w:val="22"/>
          <w:szCs w:val="22"/>
        </w:rPr>
        <w:t xml:space="preserve">Innehåll: Fullständig regelkunskap, alla domartecken, rörelsemönster på fullstorplan, bestraffningssystemet i detalj, passivt spel, matchprotokoll/EMP</w:t>
      </w:r>
    </w:p>
    <w:p>
      <w:pPr>
        <w:pStyle w:val="ListParagraph"/>
        <w:numPr>
          <w:ilvl w:val="0"/>
          <w:numId w:val="2"/>
        </w:numPr>
        <w:spacing w:after="60"/>
      </w:pPr>
      <w:r>
        <w:rPr>
          <w:rFonts w:ascii="Arial" w:cs="Arial" w:eastAsia="Arial" w:hAnsi="Arial"/>
          <w:sz w:val="22"/>
          <w:szCs w:val="22"/>
        </w:rPr>
        <w:t xml:space="preserve">Behörighet: Döma U14–U19</w:t>
      </w:r>
    </w:p>
    <w:p>
      <w:pPr>
        <w:pStyle w:val="Heading2"/>
      </w:pPr>
      <w:r>
        <w:t xml:space="preserve">Modul 3: Seniordomare (motsvara DU4–6)</w:t>
      </w:r>
    </w:p>
    <w:p>
      <w:pPr>
        <w:pStyle w:val="ListParagraph"/>
        <w:numPr>
          <w:ilvl w:val="0"/>
          <w:numId w:val="2"/>
        </w:numPr>
        <w:spacing w:after="60"/>
      </w:pPr>
      <w:r>
        <w:rPr>
          <w:rFonts w:ascii="Arial" w:cs="Arial" w:eastAsia="Arial" w:hAnsi="Arial"/>
          <w:sz w:val="22"/>
          <w:szCs w:val="22"/>
        </w:rPr>
        <w:t xml:space="preserve">Förkunskapskrav: Godkänd Modul 2 + matcherfarenhet</w:t>
      </w:r>
    </w:p>
    <w:p>
      <w:pPr>
        <w:pStyle w:val="ListParagraph"/>
        <w:numPr>
          <w:ilvl w:val="0"/>
          <w:numId w:val="2"/>
        </w:numPr>
        <w:spacing w:after="60"/>
      </w:pPr>
      <w:r>
        <w:rPr>
          <w:rFonts w:ascii="Arial" w:cs="Arial" w:eastAsia="Arial" w:hAnsi="Arial"/>
          <w:sz w:val="22"/>
          <w:szCs w:val="22"/>
        </w:rPr>
        <w:t xml:space="preserve">Innehåll: Avancerad regeltolkning, riktlinjer och klärlägganden, domarsamarbete (domarpar), avbytarreglemente, shoot out, fysisk förberedelse, matchledning och kommunikation</w:t>
      </w:r>
    </w:p>
    <w:p>
      <w:pPr>
        <w:pStyle w:val="ListParagraph"/>
        <w:numPr>
          <w:ilvl w:val="0"/>
          <w:numId w:val="2"/>
        </w:numPr>
        <w:spacing w:after="60"/>
      </w:pPr>
      <w:r>
        <w:rPr>
          <w:rFonts w:ascii="Arial" w:cs="Arial" w:eastAsia="Arial" w:hAnsi="Arial"/>
          <w:sz w:val="22"/>
          <w:szCs w:val="22"/>
        </w:rPr>
        <w:t xml:space="preserve">Behörighet: Seniorhandboll t.o.m. Div 1 D / Div 2 H</w:t>
      </w:r>
    </w:p>
    <w:p>
      <w:pPr>
        <w:pStyle w:val="Heading2"/>
      </w:pPr>
      <w:r>
        <w:t xml:space="preserve">Modul 4: Förbunds- och elitdomare (motsvara DU7–8)</w:t>
      </w:r>
    </w:p>
    <w:p>
      <w:pPr>
        <w:pStyle w:val="ListParagraph"/>
        <w:numPr>
          <w:ilvl w:val="0"/>
          <w:numId w:val="2"/>
        </w:numPr>
        <w:spacing w:after="60"/>
      </w:pPr>
      <w:r>
        <w:rPr>
          <w:rFonts w:ascii="Arial" w:cs="Arial" w:eastAsia="Arial" w:hAnsi="Arial"/>
          <w:sz w:val="22"/>
          <w:szCs w:val="22"/>
        </w:rPr>
        <w:t xml:space="preserve">Förkunskapskrav: Nominerad av SDF, matcherfarenhet på seniornivå</w:t>
      </w:r>
    </w:p>
    <w:p>
      <w:pPr>
        <w:pStyle w:val="ListParagraph"/>
        <w:numPr>
          <w:ilvl w:val="0"/>
          <w:numId w:val="2"/>
        </w:numPr>
        <w:spacing w:after="60"/>
      </w:pPr>
      <w:r>
        <w:rPr>
          <w:rFonts w:ascii="Arial" w:cs="Arial" w:eastAsia="Arial" w:hAnsi="Arial"/>
          <w:sz w:val="22"/>
          <w:szCs w:val="22"/>
        </w:rPr>
        <w:t xml:space="preserve">Innehåll: IHF-regeltolkningar, videoanalys, fysiska krav/tester, mentalträning, internationellt regelverk, delegatens roll</w:t>
      </w:r>
    </w:p>
    <w:p>
      <w:pPr>
        <w:pStyle w:val="ListParagraph"/>
        <w:numPr>
          <w:ilvl w:val="0"/>
          <w:numId w:val="2"/>
        </w:numPr>
        <w:spacing w:after="60"/>
      </w:pPr>
      <w:r>
        <w:rPr>
          <w:rFonts w:ascii="Arial" w:cs="Arial" w:eastAsia="Arial" w:hAnsi="Arial"/>
          <w:sz w:val="22"/>
          <w:szCs w:val="22"/>
        </w:rPr>
        <w:t xml:space="preserve">Behörighet: Förbundsserier och HBL</w:t>
      </w:r>
    </w:p>
    <w:p>
      <w:pPr>
        <w:pStyle w:val="Heading2"/>
      </w:pPr>
      <w:r>
        <w:t xml:space="preserve">Kontinuerlig utveckling</w:t>
      </w:r>
    </w:p>
    <w:p>
      <w:pPr>
        <w:pStyle w:val="ListParagraph"/>
        <w:numPr>
          <w:ilvl w:val="0"/>
          <w:numId w:val="2"/>
        </w:numPr>
        <w:spacing w:after="60"/>
      </w:pPr>
      <w:r>
        <w:rPr>
          <w:rFonts w:ascii="Arial" w:cs="Arial" w:eastAsia="Arial" w:hAnsi="Arial"/>
          <w:sz w:val="22"/>
          <w:szCs w:val="22"/>
        </w:rPr>
        <w:t xml:space="preserve">Mentorprogram för nya domare</w:t>
      </w:r>
    </w:p>
    <w:p>
      <w:pPr>
        <w:pStyle w:val="ListParagraph"/>
        <w:numPr>
          <w:ilvl w:val="0"/>
          <w:numId w:val="2"/>
        </w:numPr>
        <w:spacing w:after="60"/>
      </w:pPr>
      <w:r>
        <w:rPr>
          <w:rFonts w:ascii="Arial" w:cs="Arial" w:eastAsia="Arial" w:hAnsi="Arial"/>
          <w:sz w:val="22"/>
          <w:szCs w:val="22"/>
        </w:rPr>
        <w:t xml:space="preserve">Årlig uppdatering av regelkunskap (DU3+)</w:t>
      </w:r>
    </w:p>
    <w:p>
      <w:pPr>
        <w:pStyle w:val="ListParagraph"/>
        <w:numPr>
          <w:ilvl w:val="0"/>
          <w:numId w:val="2"/>
        </w:numPr>
        <w:spacing w:after="60"/>
      </w:pPr>
      <w:r>
        <w:rPr>
          <w:rFonts w:ascii="Arial" w:cs="Arial" w:eastAsia="Arial" w:hAnsi="Arial"/>
          <w:sz w:val="22"/>
          <w:szCs w:val="22"/>
        </w:rPr>
        <w:t xml:space="preserve">Domarinstruktörsutbildning på tre nivåer</w:t>
      </w:r>
    </w:p>
    <w:p>
      <w:pPr>
        <w:pStyle w:val="ListParagraph"/>
        <w:numPr>
          <w:ilvl w:val="0"/>
          <w:numId w:val="2"/>
        </w:numPr>
        <w:spacing w:after="60"/>
      </w:pPr>
      <w:r>
        <w:rPr>
          <w:rFonts w:ascii="Arial" w:cs="Arial" w:eastAsia="Arial" w:hAnsi="Arial"/>
          <w:sz w:val="22"/>
          <w:szCs w:val="22"/>
        </w:rPr>
        <w:t xml:space="preserve">Nationella utvecklingsgruppen (NUG) för elitsatsande domare</w:t>
      </w:r>
    </w:p>
    <w:p>
      <w:pPr>
        <w:pStyle w:val="ListParagraph"/>
        <w:numPr>
          <w:ilvl w:val="0"/>
          <w:numId w:val="2"/>
        </w:numPr>
        <w:spacing w:after="60"/>
      </w:pPr>
      <w:r>
        <w:rPr>
          <w:rFonts w:ascii="Arial" w:cs="Arial" w:eastAsia="Arial" w:hAnsi="Arial"/>
          <w:sz w:val="22"/>
          <w:szCs w:val="22"/>
        </w:rPr>
        <w:t xml:space="preserve">Internationell domarkarriär via IHF/EHF-nomineringar</w:t>
      </w:r>
    </w:p>
    <w:p>
      <w:pPr>
        <w:spacing w:after="120"/>
      </w:pPr>
      <w:r>
        <w:rPr>
          <w:rFonts w:ascii="Arial" w:cs="Arial" w:eastAsia="Arial" w:hAnsi="Arial"/>
          <w:sz w:val="22"/>
          <w:szCs w:val="22"/>
        </w:rPr>
        <w:t xml:space="preserve"/>
      </w:r>
    </w:p>
    <w:p>
      <w:r>
        <w:rPr>
          <w:i/>
          <w:iCs/>
          <w:color w:val="999999"/>
        </w:rPr>
        <w:t xml:space="preserve">--- Slut på researchdokument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2026-02-15T11:41:45.589Z</dcterms:created>
  <dcterms:modified xsi:type="dcterms:W3CDTF">2026-02-15T11:41:45.590Z</dcterms:modified>
</cp:coreProperties>
</file>

<file path=docProps/custom.xml><?xml version="1.0" encoding="utf-8"?>
<Properties xmlns="http://schemas.openxmlformats.org/officeDocument/2006/custom-properties" xmlns:vt="http://schemas.openxmlformats.org/officeDocument/2006/docPropsVTypes"/>
</file>