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INFORME DE EVALUACIÓN / 2026.10</w:t>
      </w:r>
    </w:p>
    <w:p>
      <w:pPr>
        <w:pStyle w:val="Title"/>
      </w:pPr>
      <w:r>
        <w:t>Del piloto</w:t>
        <w:br/>
        <w:t>a la decisión</w:t>
        <w:br/>
        <w:t>de entrega.</w:t>
      </w:r>
    </w:p>
    <w:p>
      <w:r>
        <w:t>Ladera Cloud</w:t>
      </w:r>
    </w:p>
    <w:p>
      <w:r>
        <w:t>Asistente de soporte con respuestas verificables.</w:t>
        <w:br/>
        <w:t>Evaluación de una muestra ficticia de 120 casos.</w:t>
      </w:r>
    </w:p>
    <w:p>
      <w:r>
        <w:t>Todas las métricas son sintéticas y sólo ilustran el diseño del informe. No son resultados de TenBeltz.</w:t>
      </w:r>
    </w:p>
    <w:p>
      <w:r>
        <w:br w:type="page"/>
      </w:r>
    </w:p>
    <w:p>
      <w:pPr>
        <w:pStyle w:val="Title"/>
      </w:pPr>
      <w:r>
        <w:t>La calidad mejora.</w:t>
        <w:br/>
        <w:t>El piloto necesita una iteración.</w:t>
      </w:r>
    </w:p>
    <w:p>
      <w:r>
        <w:t>Resumen ejecutivo / datos sintéticos del ejemplo.</w:t>
      </w:r>
    </w:p>
    <w:p>
      <w:pPr>
        <w:pStyle w:val="Heading1"/>
      </w:pPr>
      <w:r>
        <w:t>88,3 %</w:t>
      </w:r>
    </w:p>
    <w:p>
      <w:r>
        <w:t>Casos que pasan la rúbrica</w:t>
      </w:r>
    </w:p>
    <w:p>
      <w:pPr>
        <w:pStyle w:val="Heading1"/>
      </w:pPr>
      <w:r>
        <w:t>120</w:t>
      </w:r>
    </w:p>
    <w:p>
      <w:r>
        <w:t>Casos evaluados</w:t>
      </w:r>
    </w:p>
    <w:p>
      <w:pPr>
        <w:pStyle w:val="Heading1"/>
      </w:pPr>
      <w:r>
        <w:t>4,6 s</w:t>
      </w:r>
    </w:p>
    <w:p>
      <w:r>
        <w:t>Latencia p95</w:t>
      </w:r>
    </w:p>
    <w:p>
      <w:pPr>
        <w:pStyle w:val="Heading1"/>
      </w:pPr>
      <w:r>
        <w:t>14</w:t>
      </w:r>
    </w:p>
    <w:p>
      <w:r>
        <w:t>Casos por resolver</w:t>
      </w:r>
    </w:p>
    <w:p>
      <w:r>
        <w:t>Decisión del ejemplo</w:t>
      </w:r>
    </w:p>
    <w:p>
      <w:r>
        <w:t>Continuar con un piloto controlado.</w:t>
      </w:r>
    </w:p>
    <w:p>
      <w:r>
        <w:t>El objetivo de calidad del 90 % todavía no se alcanza.</w:t>
      </w:r>
    </w:p>
    <w:p>
      <w:r>
        <w:t>Mejora de 18,3 puntos porcentuales frente a la base. Ambas versiones usan los mismos 120 casos.</w:t>
      </w:r>
    </w:p>
    <w:p>
      <w:r>
        <w:br w:type="page"/>
      </w:r>
    </w:p>
    <w:p>
      <w:pPr>
        <w:pStyle w:val="Title"/>
      </w:pPr>
      <w:r>
        <w:t>Evaluar el uso real,</w:t>
        <w:br/>
        <w:t>con una muestra explícita.</w:t>
      </w:r>
    </w:p>
    <w:p>
      <w:r>
        <w:t>Método, alcance y trazabilidad de las conclusiones.</w:t>
      </w:r>
    </w:p>
    <w:p>
      <w:r>
        <w:t>Segmento</w:t>
      </w:r>
    </w:p>
    <w:p>
      <w:r>
        <w:t>Casos</w:t>
      </w:r>
    </w:p>
    <w:p>
      <w:r>
        <w:t>Qué se comprueba</w:t>
      </w:r>
    </w:p>
    <w:p>
      <w:r>
        <w:t>Consultas frecuentes</w:t>
      </w:r>
    </w:p>
    <w:p>
      <w:r>
        <w:t>60</w:t>
      </w:r>
    </w:p>
    <w:p>
      <w:r>
        <w:t>Respuestas comunes y documentación conocida.</w:t>
      </w:r>
    </w:p>
    <w:p>
      <w:r>
        <w:t>Casos complejos</w:t>
      </w:r>
    </w:p>
    <w:p>
      <w:r>
        <w:t>40</w:t>
      </w:r>
    </w:p>
    <w:p>
      <w:r>
        <w:t>Ambigüedad, composición de pasos y permisos.</w:t>
      </w:r>
    </w:p>
    <w:p>
      <w:r>
        <w:t>Fuera de alcance</w:t>
      </w:r>
    </w:p>
    <w:p>
      <w:r>
        <w:t>20</w:t>
      </w:r>
    </w:p>
    <w:p>
      <w:r>
        <w:t>Abstención y derivación al soporte humano.</w:t>
      </w:r>
    </w:p>
    <w:p>
      <w:r>
        <w:t>Rúbrica conjunta</w:t>
      </w:r>
    </w:p>
    <w:p>
      <w:r>
        <w:t>Cada caso pasa sólo si la respuesta es correcta,</w:t>
        <w:br/>
        <w:t>está sustentada y respeta el alcance. La</w:t>
        <w:br/>
        <w:t>evaluación del ejemplo usa revisión humana y</w:t>
        <w:br/>
        <w:t>registro por caso.</w:t>
      </w:r>
    </w:p>
    <w:p>
      <w:r>
        <w:t>Límites de la muestra</w:t>
      </w:r>
    </w:p>
    <w:p>
      <w:r>
        <w:t>No representa tráfico real ni acredita</w:t>
        <w:br/>
        <w:t>generalización. Los valores son sintéticos. No se</w:t>
        <w:br/>
        <w:t>estiman intervalos de confianza con estos datos</w:t>
        <w:br/>
        <w:t>de diseño.</w:t>
      </w:r>
    </w:p>
    <w:p>
      <w:r>
        <w:br w:type="page"/>
      </w:r>
    </w:p>
    <w:p>
      <w:pPr>
        <w:pStyle w:val="Title"/>
      </w:pPr>
      <w:r>
        <w:t>Más respuestas útiles.</w:t>
        <w:br/>
        <w:t>La misma muestra.</w:t>
      </w:r>
    </w:p>
    <w:p>
      <w:r>
        <w:t>Calidad global y por segmento / comparación emparejada del ejemplo.</w:t>
      </w:r>
    </w:p>
    <w:p>
      <w:r>
        <w:t>Barras con origen en cero y escala 0–100 %. Cada segmento tiene un denominador distinto.</w:t>
      </w:r>
    </w:p>
    <w:p>
      <w:r>
        <w:t>Gráfico del ejemplo / datos ilustrativos:</w:t>
      </w:r>
    </w:p>
    <w:p>
      <w:r>
        <w:drawing>
          <wp:inline xmlns:a="http://schemas.openxmlformats.org/drawingml/2006/main" xmlns:pic="http://schemas.openxmlformats.org/drawingml/2006/picture">
            <wp:extent cx="5580000" cy="4684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beltz-example-qual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84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Medir también</w:t>
        <w:br/>
        <w:t>la experiencia de uso.</w:t>
      </w:r>
    </w:p>
    <w:p>
      <w:r>
        <w:t>Latencia y progreso de iteraciones / datos ilustrativos.</w:t>
      </w:r>
    </w:p>
    <w:p>
      <w:r>
        <w:t>Misma muestra en cada iteración; esta curva no mide generalización.</w:t>
      </w:r>
    </w:p>
    <w:p>
      <w:r>
        <w:t>Gráfico del ejemplo / datos ilustrativos:</w:t>
      </w:r>
    </w:p>
    <w:p>
      <w:r>
        <w:drawing>
          <wp:inline xmlns:a="http://schemas.openxmlformats.org/drawingml/2006/main" xmlns:pic="http://schemas.openxmlformats.org/drawingml/2006/picture">
            <wp:extent cx="5580000" cy="490297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beltz-example-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9029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Catorce fallos.</w:t>
        <w:br/>
        <w:t>Cuatro causas accionables.</w:t>
      </w:r>
    </w:p>
    <w:p>
      <w:r>
        <w:t>Clasificación exclusiva de los casos que no pasan / ejemplo sintético.</w:t>
      </w:r>
    </w:p>
    <w:p>
      <w:r>
        <w:t>Primera acción: completar las fuentes.</w:t>
      </w:r>
    </w:p>
    <w:p>
      <w:r>
        <w:t>Seis fallos dependen de contenido ausente. Revisar las fuentes antes de ajustar prompts o añadir</w:t>
        <w:br/>
        <w:t>complejidad al sistema.</w:t>
      </w:r>
    </w:p>
    <w:p>
      <w:r>
        <w:t>Gráfico del ejemplo / datos ilustrativos:</w:t>
      </w:r>
    </w:p>
    <w:p>
      <w:r>
        <w:drawing>
          <wp:inline xmlns:a="http://schemas.openxmlformats.org/drawingml/2006/main" xmlns:pic="http://schemas.openxmlformats.org/drawingml/2006/picture">
            <wp:extent cx="5580000" cy="386559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nbeltz-example-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655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Title"/>
      </w:pPr>
      <w:r>
        <w:t>Una decisión acompañada</w:t>
        <w:br/>
        <w:t>de un plan concreto.</w:t>
      </w:r>
    </w:p>
    <w:p>
      <w:r>
        <w:t>Recomendaciones, responsables y condiciones de salida.</w:t>
      </w:r>
    </w:p>
    <w:p>
      <w:r>
        <w:t>Acción</w:t>
      </w:r>
    </w:p>
    <w:p>
      <w:r>
        <w:t>Responsable</w:t>
      </w:r>
    </w:p>
    <w:p>
      <w:r>
        <w:t>Validación</w:t>
      </w:r>
    </w:p>
    <w:p>
      <w:r>
        <w:t>Completar las fuentes</w:t>
      </w:r>
    </w:p>
    <w:p>
      <w:r>
        <w:t>Producto / cliente</w:t>
      </w:r>
    </w:p>
    <w:p>
      <w:r>
        <w:t>Volver a evaluar los 6 casos de</w:t>
        <w:br/>
        <w:t>documentación.</w:t>
      </w:r>
    </w:p>
    <w:p>
      <w:r>
        <w:t>Ajustar recuperación y citas</w:t>
      </w:r>
    </w:p>
    <w:p>
      <w:r>
        <w:t>Equipo técnico</w:t>
      </w:r>
    </w:p>
    <w:p>
      <w:r>
        <w:t>Revisar casos complejos y trazas.</w:t>
      </w:r>
    </w:p>
    <w:p>
      <w:r>
        <w:t>Repetir evaluación</w:t>
      </w:r>
    </w:p>
    <w:p>
      <w:r>
        <w:t>TenBeltz + cliente</w:t>
      </w:r>
    </w:p>
    <w:p>
      <w:r>
        <w:t>Misma rúbrica; muestra ampliada y</w:t>
        <w:br/>
        <w:t>documentada.</w:t>
      </w:r>
    </w:p>
    <w:p>
      <w:r>
        <w:t>Abrir piloto controlado</w:t>
      </w:r>
    </w:p>
    <w:p>
      <w:r>
        <w:t>Responsable de</w:t>
        <w:br/>
        <w:t>producto</w:t>
      </w:r>
    </w:p>
    <w:p>
      <w:r>
        <w:t>Calidad acordada, observabilidad y</w:t>
        <w:br/>
        <w:t>retorno humano.</w:t>
      </w:r>
    </w:p>
    <w:p>
      <w:r>
        <w:t>La entrega incluye la evidencia.</w:t>
      </w:r>
    </w:p>
    <w:p>
      <w:r>
        <w:t>Conservar resultados por caso, versión de fuentes, configuración del sistema y límites. Acordar la</w:t>
        <w:br/>
        <w:t>decisión de lanzamiento con el cliente.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TenBeltz / Ladera Cloud / ejemplo ficticio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84000" cy="34749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nbeltz-horizontal-colo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34749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IBM Plex Sans" w:hAnsi="IBM Plex Sans"/>
      <w:color w:val="252826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IBM Plex Sans" w:hAnsi="IBM Plex Sans"/>
      <w:b/>
      <w:bCs/>
      <w:color w:val="25282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IBM Plex Sans" w:hAnsi="IBM Plex Sans"/>
      <w:color w:val="252826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Ejemplo report / Ladera Cloud</dc:title>
  <dc:subject/>
  <dc:creator>TenBeltz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