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EA" w:rsidRPr="00D063F4" w:rsidRDefault="003125EA" w:rsidP="003125E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063F4">
        <w:rPr>
          <w:rFonts w:ascii="Times New Roman" w:hAnsi="Times New Roman" w:cs="Times New Roman"/>
          <w:b/>
          <w:sz w:val="24"/>
          <w:szCs w:val="24"/>
        </w:rPr>
        <w:t>«</w:t>
      </w:r>
      <w:r w:rsidR="00D063F4" w:rsidRPr="00D063F4">
        <w:rPr>
          <w:rFonts w:ascii="Times New Roman" w:hAnsi="Times New Roman"/>
          <w:b/>
          <w:sz w:val="24"/>
          <w:szCs w:val="24"/>
        </w:rPr>
        <w:t>Публичное право</w:t>
      </w:r>
      <w:r w:rsidRPr="00D063F4">
        <w:rPr>
          <w:rFonts w:ascii="Times New Roman" w:hAnsi="Times New Roman" w:cs="Times New Roman"/>
          <w:b/>
          <w:sz w:val="24"/>
          <w:szCs w:val="24"/>
        </w:rPr>
        <w:t>»</w:t>
      </w:r>
    </w:p>
    <w:p w:rsidR="007F0ED9" w:rsidRPr="002D680D" w:rsidRDefault="003125EA" w:rsidP="002D680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0D">
        <w:rPr>
          <w:rFonts w:ascii="Times New Roman" w:hAnsi="Times New Roman" w:cs="Times New Roman"/>
          <w:b/>
          <w:sz w:val="24"/>
          <w:szCs w:val="24"/>
        </w:rPr>
        <w:t>Калашников А. С. ИУК4-62Б</w:t>
      </w:r>
    </w:p>
    <w:p w:rsidR="003125EA" w:rsidRDefault="002D680D" w:rsidP="003125E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0D">
        <w:rPr>
          <w:rFonts w:ascii="Times New Roman" w:hAnsi="Times New Roman" w:cs="Times New Roman"/>
          <w:b/>
          <w:sz w:val="24"/>
          <w:szCs w:val="24"/>
        </w:rPr>
        <w:t>Задание</w:t>
      </w:r>
      <w:r w:rsidR="003125EA" w:rsidRPr="002D680D">
        <w:rPr>
          <w:rFonts w:ascii="Times New Roman" w:hAnsi="Times New Roman" w:cs="Times New Roman"/>
          <w:b/>
          <w:sz w:val="24"/>
          <w:szCs w:val="24"/>
        </w:rPr>
        <w:t xml:space="preserve"> №1</w:t>
      </w:r>
    </w:p>
    <w:p w:rsidR="002D680D" w:rsidRPr="00D75413" w:rsidRDefault="002D680D" w:rsidP="003125E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75413">
        <w:rPr>
          <w:rFonts w:ascii="Times New Roman" w:hAnsi="Times New Roman"/>
          <w:sz w:val="24"/>
          <w:szCs w:val="24"/>
        </w:rPr>
        <w:t>Приведите примеры источников, соответствующие реализации территориального и иерархического факторов.</w:t>
      </w:r>
    </w:p>
    <w:p w:rsidR="002D680D" w:rsidRPr="002D680D" w:rsidRDefault="002D680D" w:rsidP="002D680D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D680D">
        <w:rPr>
          <w:rFonts w:ascii="Times New Roman" w:hAnsi="Times New Roman"/>
          <w:b/>
          <w:sz w:val="24"/>
          <w:szCs w:val="24"/>
        </w:rPr>
        <w:t>федеральный:</w:t>
      </w:r>
    </w:p>
    <w:p w:rsidR="002D680D" w:rsidRPr="00D75413" w:rsidRDefault="002D680D" w:rsidP="0065168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413">
        <w:rPr>
          <w:rFonts w:ascii="Times New Roman" w:hAnsi="Times New Roman" w:cs="Times New Roman"/>
          <w:sz w:val="24"/>
          <w:szCs w:val="24"/>
        </w:rPr>
        <w:t>Федеральный закон «Кодекс Российской Федерации об административных правонарушениях» от 30.12.2001 N 195-ФЗ (ред. от 14.04.2023)</w:t>
      </w:r>
    </w:p>
    <w:p w:rsidR="002D680D" w:rsidRPr="00D75413" w:rsidRDefault="00D75413" w:rsidP="0065168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413">
        <w:rPr>
          <w:rFonts w:ascii="Times New Roman" w:hAnsi="Times New Roman" w:cs="Times New Roman"/>
          <w:sz w:val="24"/>
          <w:szCs w:val="24"/>
        </w:rPr>
        <w:t>Приказ Министерства просвещения Российской Федерации от 27.07.2022 № 629 "Об утверждении Порядка организации и осуществления образовательной деятельности по дополнительным общеобразовательным программам"</w:t>
      </w:r>
    </w:p>
    <w:p w:rsidR="002D680D" w:rsidRPr="002D680D" w:rsidRDefault="002D680D" w:rsidP="002D680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2D680D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1.2 </w:t>
      </w:r>
      <w:r w:rsidRPr="002D680D">
        <w:rPr>
          <w:rFonts w:ascii="Times New Roman" w:hAnsi="Times New Roman"/>
          <w:b/>
          <w:sz w:val="24"/>
          <w:szCs w:val="24"/>
        </w:rPr>
        <w:t>региональный:</w:t>
      </w:r>
    </w:p>
    <w:p w:rsidR="002D680D" w:rsidRDefault="00D75413" w:rsidP="006516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413">
        <w:rPr>
          <w:rFonts w:ascii="Times New Roman" w:hAnsi="Times New Roman" w:cs="Times New Roman"/>
          <w:sz w:val="24"/>
          <w:szCs w:val="24"/>
        </w:rPr>
        <w:t>Закон Республики Крым от 14.10.2020 N 116-ЗРК/2020 (ред. от 22.12.2022) "О приостановлении действия Закона Республики Крым "О предоставлении дополнительной меры социальной поддержки для улучшения жилищных условий семьям, имеющим детей, в Республике Крым" (принят Государственным Советом Республики Крым 14.10.2020)</w:t>
      </w:r>
    </w:p>
    <w:p w:rsidR="00A31B46" w:rsidRPr="00A31B46" w:rsidRDefault="00A31B46" w:rsidP="006516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A31B46">
        <w:rPr>
          <w:rFonts w:ascii="Times New Roman" w:hAnsi="Times New Roman" w:cs="Times New Roman"/>
          <w:sz w:val="24"/>
          <w:szCs w:val="24"/>
        </w:rPr>
        <w:t>аспоряжение Губернатора Калужской области от 11.03.2019       № 21-р «О создании проектного комитета по реализации региональных проектов «Дорожная сеть» и «Общесистемные меры развития дорожного хозяйства»</w:t>
      </w:r>
    </w:p>
    <w:p w:rsidR="00A31B46" w:rsidRDefault="002D680D" w:rsidP="002D680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D680D">
        <w:rPr>
          <w:rFonts w:ascii="Times New Roman" w:hAnsi="Times New Roman"/>
          <w:b/>
          <w:caps/>
          <w:color w:val="4D4D4D"/>
          <w:sz w:val="24"/>
          <w:szCs w:val="24"/>
        </w:rPr>
        <w:t xml:space="preserve">1.3 </w:t>
      </w:r>
      <w:r w:rsidRPr="002D680D">
        <w:rPr>
          <w:rFonts w:ascii="Times New Roman" w:hAnsi="Times New Roman"/>
          <w:b/>
          <w:sz w:val="24"/>
          <w:szCs w:val="24"/>
        </w:rPr>
        <w:t>местный:</w:t>
      </w:r>
    </w:p>
    <w:p w:rsidR="00A31B46" w:rsidRDefault="00A31B46" w:rsidP="002D680D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31B46" w:rsidRPr="00A31B46" w:rsidRDefault="00A31B46" w:rsidP="00A31B4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1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Решения Смоленского городского Совета</w:t>
      </w:r>
      <w:r w:rsidRPr="00A31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</w:t>
      </w:r>
      <w:r w:rsidRPr="00A31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30.09.2022</w:t>
      </w:r>
      <w:r w:rsidRPr="00A31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</w:t>
      </w:r>
      <w:r w:rsidRPr="00A31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внесении изменений в перечень муниципального имущества, свободного от прав третьих лиц (за исключением права хозяйственного ведения, права оперативного управления, а также имущественных прав субъектов малого и среднего предпринимательства), предназначенного для передачи во владение и (или) в пользование на долгосрочной основе (в том числе по льготным ставкам арендной платы) субъектам малого и среднего предпринимательства и организациям, образующим инфраструктуру поддержки субъектов малого и — среднего предпринимательства, утвержденный решением 75-й сессии Смоленского городского Совета III созыва от 31.08.2009 № 1228</w:t>
      </w:r>
      <w:r w:rsidRPr="00A31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</w:p>
    <w:p w:rsidR="00A31B46" w:rsidRPr="00A31B46" w:rsidRDefault="00A31B46" w:rsidP="00A31B4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Постановление Главы города Смоленска</w:t>
      </w:r>
      <w:r w:rsidRPr="00A31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</w:t>
      </w:r>
      <w:r w:rsidRPr="00A31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19.05.2023</w:t>
      </w:r>
      <w:r w:rsidRPr="00A31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</w:t>
      </w:r>
      <w:r w:rsidRPr="00A31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назначении публичных слушаний по проекту постановления Главы города Смоленска «О предоставлении разрешения на отклонение от предельных параметров разрешенного строительства, реконструкции объекта капитального строительства «Индивидуальный жилой дом по улице Ногина, дом 4 в городе Смоленске»</w:t>
      </w:r>
      <w:r w:rsidRPr="00A31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</w:p>
    <w:p w:rsidR="003125EA" w:rsidRDefault="00651685" w:rsidP="003125EA">
      <w:pPr>
        <w:spacing w:line="276" w:lineRule="auto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 w:rsidRPr="00651685">
        <w:rPr>
          <w:rFonts w:ascii="Times New Roman" w:hAnsi="Times New Roman" w:cs="Times New Roman"/>
          <w:b/>
          <w:sz w:val="24"/>
          <w:szCs w:val="28"/>
        </w:rPr>
        <w:t>Задание</w:t>
      </w:r>
      <w:r w:rsidR="003125EA" w:rsidRPr="00651685">
        <w:rPr>
          <w:rFonts w:ascii="Times New Roman" w:hAnsi="Times New Roman" w:cs="Times New Roman"/>
          <w:b/>
          <w:sz w:val="24"/>
          <w:szCs w:val="28"/>
        </w:rPr>
        <w:t xml:space="preserve"> №2</w:t>
      </w:r>
    </w:p>
    <w:p w:rsidR="00651685" w:rsidRPr="00651685" w:rsidRDefault="00651685" w:rsidP="0065168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51685">
        <w:rPr>
          <w:rFonts w:ascii="Times New Roman" w:hAnsi="Times New Roman"/>
          <w:sz w:val="24"/>
          <w:szCs w:val="24"/>
        </w:rPr>
        <w:t>Задание 2. Охарактеризуйте содержание правового статуса человека и гражданина, соответствующее статье 30.1 Конституции РФ. Для ответа использовать Комментарий к Конституции РФ.</w:t>
      </w:r>
    </w:p>
    <w:p w:rsidR="00651685" w:rsidRPr="00C52ABA" w:rsidRDefault="00C52ABA" w:rsidP="00C52ABA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8"/>
        </w:rPr>
      </w:pPr>
      <w:r w:rsidRPr="00C52AB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>Содержание ст. 30.1:</w:t>
      </w:r>
    </w:p>
    <w:p w:rsidR="00651685" w:rsidRDefault="00651685" w:rsidP="00C52ABA">
      <w:pPr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>Каждый имеет право на объединение, включая право создавать профессиональные союзы для защиты своих интересов. Свобода деятельности общественных объединений гарантируется.</w:t>
      </w:r>
    </w:p>
    <w:p w:rsidR="00C52ABA" w:rsidRPr="00C52ABA" w:rsidRDefault="00C52ABA" w:rsidP="00C52AB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>Ст. 30.1 относиться к</w:t>
      </w:r>
      <w:r w:rsidRPr="00C52ABA">
        <w:rPr>
          <w:rFonts w:ascii="Arial" w:hAnsi="Arial" w:cs="Arial"/>
          <w:color w:val="747474"/>
          <w:shd w:val="clear" w:color="auto" w:fill="FCFDFE"/>
        </w:rPr>
        <w:t xml:space="preserve"> </w:t>
      </w:r>
      <w:r w:rsidRPr="00C52ABA">
        <w:rPr>
          <w:rFonts w:ascii="Times New Roman" w:hAnsi="Times New Roman" w:cs="Times New Roman"/>
          <w:sz w:val="24"/>
        </w:rPr>
        <w:t>политическим правам</w:t>
      </w:r>
    </w:p>
    <w:p w:rsidR="00C52ABA" w:rsidRDefault="00C52ABA" w:rsidP="00C52AB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Комментарии к статье 30.1 Конституции РФ</w:t>
      </w:r>
    </w:p>
    <w:p w:rsidR="00C52ABA" w:rsidRPr="00C52ABA" w:rsidRDefault="00C52ABA" w:rsidP="00C52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 xml:space="preserve">1. В соответствии со ст. 3 Федерального закона от 19 мая 1995 г. N 82-ФЗ (с посл. изм. и доп.) «Об общественных </w:t>
      </w:r>
      <w:proofErr w:type="gramStart"/>
      <w:r w:rsidRPr="00C52ABA">
        <w:rPr>
          <w:rFonts w:ascii="Times New Roman" w:hAnsi="Times New Roman" w:cs="Times New Roman"/>
          <w:sz w:val="24"/>
          <w:szCs w:val="24"/>
        </w:rPr>
        <w:t>объединениях»*</w:t>
      </w:r>
      <w:proofErr w:type="gramEnd"/>
      <w:r w:rsidRPr="00C52ABA">
        <w:rPr>
          <w:rFonts w:ascii="Times New Roman" w:hAnsi="Times New Roman" w:cs="Times New Roman"/>
          <w:sz w:val="24"/>
          <w:szCs w:val="24"/>
        </w:rPr>
        <w:t xml:space="preserve">(121) право граждан на объединение включает в себя следующие правовые возможности: </w:t>
      </w:r>
    </w:p>
    <w:p w:rsidR="00C52ABA" w:rsidRPr="00C52ABA" w:rsidRDefault="00C52ABA" w:rsidP="00C52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 xml:space="preserve">1) создавать на добровольной основе общественные объединения для защиты общих интересов и достижения общих целей; </w:t>
      </w:r>
    </w:p>
    <w:p w:rsidR="00C52ABA" w:rsidRPr="00C52ABA" w:rsidRDefault="00C52ABA" w:rsidP="00C52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 xml:space="preserve">2) вступать в существующие общественные объединения либо воздерживаться от вступления в них; </w:t>
      </w:r>
    </w:p>
    <w:p w:rsidR="00C52ABA" w:rsidRPr="00C52ABA" w:rsidRDefault="00C52ABA" w:rsidP="00C52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>3) беспрепятственно выходить из общественных объединений. Таковы суть и содержание права на свободу объединения, или, как принято формулировать в международно-правовых актах и зарубежных конституциях, права на свободу ассоциации. В России оно может осуществляться, по общему правилу, по достижении человеком 18 лет, применительно к профсоюзам, молодежным общественным объединениям — с 14, а в отношении детских объединений — с 10 лет. Данное право, согласно ч. 1 ст. 30 Конституции РФ, принадлежит в Российской Федерации каждому, следовательно, не только российским гражданам. Статья 19 Федерального закона «Об общественных объединениях» определяет, что иностранные граждане и лица без гражданства наравне с гражданами России могут быть учредителями, членами и участниками общественных объединений, за исключением случаев, установленных федеральными законами и международными договорами Российской Федерации. Так, они не вправе быть членами политических партий (п. 2 ст. 23 Федерального закона от 11 июля 2001 г. N 95-ФЗ «О политических партиях»)</w:t>
      </w:r>
      <w:r w:rsidRPr="00C52ABA">
        <w:rPr>
          <w:rFonts w:ascii="Times New Roman" w:hAnsi="Times New Roman" w:cs="Times New Roman"/>
          <w:sz w:val="24"/>
          <w:szCs w:val="24"/>
        </w:rPr>
        <w:br/>
      </w:r>
      <w:r w:rsidRPr="00C52ABA">
        <w:rPr>
          <w:rFonts w:ascii="Times New Roman" w:hAnsi="Times New Roman" w:cs="Times New Roman"/>
          <w:sz w:val="24"/>
          <w:szCs w:val="24"/>
        </w:rPr>
        <w:br/>
        <w:t>Источник: </w:t>
      </w:r>
      <w:hyperlink r:id="rId5" w:history="1">
        <w:r w:rsidRPr="00C52ABA">
          <w:rPr>
            <w:rStyle w:val="a4"/>
            <w:rFonts w:ascii="Times New Roman" w:hAnsi="Times New Roman" w:cs="Times New Roman"/>
            <w:sz w:val="24"/>
            <w:szCs w:val="24"/>
          </w:rPr>
          <w:t>https://konstrf.ru/30</w:t>
        </w:r>
      </w:hyperlink>
    </w:p>
    <w:p w:rsidR="003125EA" w:rsidRDefault="00651685" w:rsidP="006516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51685">
        <w:rPr>
          <w:rFonts w:ascii="Times New Roman" w:hAnsi="Times New Roman" w:cs="Times New Roman"/>
          <w:b/>
          <w:sz w:val="24"/>
          <w:szCs w:val="28"/>
        </w:rPr>
        <w:t xml:space="preserve">Задание </w:t>
      </w:r>
      <w:r w:rsidR="003125EA" w:rsidRPr="00651685">
        <w:rPr>
          <w:rFonts w:ascii="Times New Roman" w:hAnsi="Times New Roman" w:cs="Times New Roman"/>
          <w:b/>
          <w:sz w:val="24"/>
          <w:szCs w:val="28"/>
        </w:rPr>
        <w:t>№3</w:t>
      </w:r>
    </w:p>
    <w:p w:rsidR="00551B59" w:rsidRPr="00551B59" w:rsidRDefault="00551B59" w:rsidP="00551B5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51B59">
        <w:rPr>
          <w:rFonts w:ascii="Times New Roman" w:hAnsi="Times New Roman"/>
          <w:sz w:val="24"/>
          <w:szCs w:val="24"/>
        </w:rPr>
        <w:t>Укажите 2 правонарушения, соответствующие главе 21 КоАП РФ с указанием области правонарушения (название главы).</w:t>
      </w:r>
    </w:p>
    <w:p w:rsidR="009F7FBD" w:rsidRDefault="009F7FBD" w:rsidP="009F7FBD">
      <w:pPr>
        <w:rPr>
          <w:rFonts w:ascii="Times New Roman" w:hAnsi="Times New Roman" w:cs="Times New Roman"/>
          <w:sz w:val="24"/>
          <w:szCs w:val="24"/>
        </w:rPr>
      </w:pPr>
      <w:r w:rsidRPr="009F7FBD">
        <w:rPr>
          <w:rFonts w:ascii="Times New Roman" w:hAnsi="Times New Roman" w:cs="Times New Roman"/>
          <w:sz w:val="24"/>
          <w:szCs w:val="24"/>
        </w:rPr>
        <w:t>Глава 21 административные правонарушения в области воинского учета</w:t>
      </w:r>
    </w:p>
    <w:p w:rsidR="009F7FBD" w:rsidRPr="009F7FBD" w:rsidRDefault="009F7FBD" w:rsidP="00551B5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F7FBD">
        <w:rPr>
          <w:rFonts w:ascii="Times New Roman" w:hAnsi="Times New Roman" w:cs="Times New Roman"/>
          <w:sz w:val="24"/>
        </w:rPr>
        <w:lastRenderedPageBreak/>
        <w:t>Статья 21.1. Непредставление в военный комиссариат или в иной орган, осуществляющий воинский учет, списков граждан, подлежащих первоначальной постановке на воинский учет</w:t>
      </w:r>
    </w:p>
    <w:p w:rsidR="009F7FBD" w:rsidRPr="009F7FBD" w:rsidRDefault="009F7FBD" w:rsidP="00551B5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F7FBD">
        <w:rPr>
          <w:rFonts w:ascii="Times New Roman" w:hAnsi="Times New Roman" w:cs="Times New Roman"/>
          <w:sz w:val="24"/>
        </w:rPr>
        <w:t xml:space="preserve">Статья 21.2. </w:t>
      </w:r>
      <w:proofErr w:type="spellStart"/>
      <w:r w:rsidRPr="009F7FBD">
        <w:rPr>
          <w:rFonts w:ascii="Times New Roman" w:hAnsi="Times New Roman" w:cs="Times New Roman"/>
          <w:sz w:val="24"/>
        </w:rPr>
        <w:t>Неоповещение</w:t>
      </w:r>
      <w:proofErr w:type="spellEnd"/>
      <w:r w:rsidRPr="009F7FBD">
        <w:rPr>
          <w:rFonts w:ascii="Times New Roman" w:hAnsi="Times New Roman" w:cs="Times New Roman"/>
          <w:sz w:val="24"/>
        </w:rPr>
        <w:t xml:space="preserve"> граждан о вызове их по повестке военного комиссариата или иного органа, осуществляющего воинский учет</w:t>
      </w:r>
    </w:p>
    <w:p w:rsidR="00551B59" w:rsidRDefault="00551B59" w:rsidP="00551B5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51B59">
        <w:rPr>
          <w:rFonts w:ascii="Times New Roman" w:hAnsi="Times New Roman" w:cs="Times New Roman"/>
          <w:b/>
          <w:sz w:val="24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8"/>
        </w:rPr>
        <w:t>№4</w:t>
      </w:r>
    </w:p>
    <w:p w:rsidR="00551B59" w:rsidRPr="00551B59" w:rsidRDefault="00551B59" w:rsidP="00551B5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51B59">
        <w:rPr>
          <w:rFonts w:ascii="Times New Roman" w:hAnsi="Times New Roman"/>
          <w:sz w:val="24"/>
          <w:szCs w:val="24"/>
        </w:rPr>
        <w:t>Определите меру административной ответственности за правонарушение по статье 5.14 для субъекта (-</w:t>
      </w:r>
      <w:proofErr w:type="spellStart"/>
      <w:r w:rsidRPr="00551B59">
        <w:rPr>
          <w:rFonts w:ascii="Times New Roman" w:hAnsi="Times New Roman"/>
          <w:sz w:val="24"/>
          <w:szCs w:val="24"/>
        </w:rPr>
        <w:t>ов</w:t>
      </w:r>
      <w:proofErr w:type="spellEnd"/>
      <w:r w:rsidRPr="00551B59">
        <w:rPr>
          <w:rFonts w:ascii="Times New Roman" w:hAnsi="Times New Roman"/>
          <w:sz w:val="24"/>
          <w:szCs w:val="24"/>
        </w:rPr>
        <w:t>) административного права</w:t>
      </w:r>
    </w:p>
    <w:p w:rsidR="00551B59" w:rsidRPr="00551B59" w:rsidRDefault="00551B59" w:rsidP="00551B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Статья 5.14 </w:t>
      </w:r>
      <w:r w:rsidRPr="00551B59">
        <w:rPr>
          <w:rFonts w:ascii="Times New Roman" w:hAnsi="Times New Roman" w:cs="Times New Roman"/>
          <w:sz w:val="24"/>
        </w:rPr>
        <w:t>умышленное уничтожение или повреждение агитационного материала либо информационного материала, относящегося к выборам, референдуму, общероссийскому голосованию</w:t>
      </w:r>
    </w:p>
    <w:p w:rsidR="009F7FBD" w:rsidRPr="00551B59" w:rsidRDefault="00551B59" w:rsidP="00551B59">
      <w:pPr>
        <w:jc w:val="both"/>
        <w:rPr>
          <w:rFonts w:ascii="Times New Roman" w:hAnsi="Times New Roman" w:cs="Times New Roman"/>
          <w:sz w:val="24"/>
        </w:rPr>
      </w:pPr>
      <w:r w:rsidRPr="00551B59">
        <w:rPr>
          <w:rFonts w:ascii="Times New Roman" w:hAnsi="Times New Roman" w:cs="Times New Roman"/>
          <w:sz w:val="24"/>
        </w:rPr>
        <w:t>Умышленное уничтожение или повреждение информационного материала, относящегося к выборам, референдуму, общероссийскому голосованию, либо агитационного материала, размещенного в соответствии с законом, вывешенного на здании, сооружении или ином объекте в период избирательной кампании, кампании референдума или в период подготовки и проведения общероссийского голосования, либо нанесение надписей или изображений на такой материал -влечет наложение административного штрафа в размере от пятисот до одной тысячи рублей.</w:t>
      </w:r>
    </w:p>
    <w:sectPr w:rsidR="009F7FBD" w:rsidRPr="00551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ADA"/>
    <w:multiLevelType w:val="hybridMultilevel"/>
    <w:tmpl w:val="3DB6C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7341"/>
    <w:multiLevelType w:val="multilevel"/>
    <w:tmpl w:val="945E64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C87AC7"/>
    <w:multiLevelType w:val="hybridMultilevel"/>
    <w:tmpl w:val="2A3452BE"/>
    <w:lvl w:ilvl="0" w:tplc="B6123D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8670A"/>
    <w:multiLevelType w:val="hybridMultilevel"/>
    <w:tmpl w:val="5658D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706FD"/>
    <w:multiLevelType w:val="multilevel"/>
    <w:tmpl w:val="ADFE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76E1F"/>
    <w:multiLevelType w:val="hybridMultilevel"/>
    <w:tmpl w:val="F8EA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57B21"/>
    <w:multiLevelType w:val="hybridMultilevel"/>
    <w:tmpl w:val="0E80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05632"/>
    <w:multiLevelType w:val="hybridMultilevel"/>
    <w:tmpl w:val="EA3A5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915F1"/>
    <w:multiLevelType w:val="hybridMultilevel"/>
    <w:tmpl w:val="DC9027E4"/>
    <w:lvl w:ilvl="0" w:tplc="B6123D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93777"/>
    <w:multiLevelType w:val="hybridMultilevel"/>
    <w:tmpl w:val="7C4E61F0"/>
    <w:lvl w:ilvl="0" w:tplc="98FC711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45217"/>
    <w:multiLevelType w:val="hybridMultilevel"/>
    <w:tmpl w:val="25EC2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E1A71"/>
    <w:multiLevelType w:val="multilevel"/>
    <w:tmpl w:val="146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EA"/>
    <w:rsid w:val="002D680D"/>
    <w:rsid w:val="003125EA"/>
    <w:rsid w:val="004A6896"/>
    <w:rsid w:val="00551B59"/>
    <w:rsid w:val="0058212C"/>
    <w:rsid w:val="00651685"/>
    <w:rsid w:val="00791460"/>
    <w:rsid w:val="008661E2"/>
    <w:rsid w:val="009F7FBD"/>
    <w:rsid w:val="00A31B46"/>
    <w:rsid w:val="00AB3C77"/>
    <w:rsid w:val="00C52ABA"/>
    <w:rsid w:val="00D063F4"/>
    <w:rsid w:val="00D7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108D5"/>
  <w15:chartTrackingRefBased/>
  <w15:docId w15:val="{3654F6BB-52F9-42FB-9955-5F50FE37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6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5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68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eadertext">
    <w:name w:val="headertext"/>
    <w:basedOn w:val="a"/>
    <w:rsid w:val="002D6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75413"/>
    <w:rPr>
      <w:color w:val="0000FF"/>
      <w:u w:val="single"/>
    </w:rPr>
  </w:style>
  <w:style w:type="character" w:styleId="a5">
    <w:name w:val="Strong"/>
    <w:basedOn w:val="a0"/>
    <w:uiPriority w:val="22"/>
    <w:qFormat/>
    <w:rsid w:val="00C52ABA"/>
    <w:rPr>
      <w:b/>
      <w:bCs/>
    </w:rPr>
  </w:style>
  <w:style w:type="paragraph" w:customStyle="1" w:styleId="aligncenter">
    <w:name w:val="align_center"/>
    <w:basedOn w:val="a"/>
    <w:rsid w:val="009F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9F7FBD"/>
    <w:rPr>
      <w:color w:val="954F72" w:themeColor="followedHyperlink"/>
      <w:u w:val="single"/>
    </w:rPr>
  </w:style>
  <w:style w:type="paragraph" w:customStyle="1" w:styleId="pboth">
    <w:name w:val="pboth"/>
    <w:basedOn w:val="a"/>
    <w:rsid w:val="0055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nstrf.ru/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5</cp:revision>
  <cp:lastPrinted>2023-05-02T17:09:00Z</cp:lastPrinted>
  <dcterms:created xsi:type="dcterms:W3CDTF">2023-05-02T09:59:00Z</dcterms:created>
  <dcterms:modified xsi:type="dcterms:W3CDTF">2023-05-22T11:23:00Z</dcterms:modified>
</cp:coreProperties>
</file>