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89pt;width:358.35pt;rotation:0f;" o:ole="f" fillcolor="#FFFFFF" filled="f" o:preferrelative="t" stroked="f" coordorigin="0,0" coordsize="21600,21600">
            <v:fill on="f" color2="#FFFFFF" focus="0%"/>
            <v:imagedata gain="65536f" blacklevel="0f" gamma="0" o:title="1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 Settings的Framework Search Path指向TVSAccountSDK.framework路径：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2" o:spid="_x0000_s1029" type="#_x0000_t75" style="height:13.1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C26FD3A7-387D-4FAB-90EA-F8EC580503C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30" type="#_x0000_t75" style="height:360.4pt;width:231.3pt;rotation:0f;" o:ole="f" fillcolor="#FFFFFF" filled="f" o:preferrelative="t" stroked="f" coordorigin="0,0" coordsize="21600,21600">
            <v:fill on="f" color2="#FFFFFF" focus="0%"/>
            <v:imagedata gain="65536f" blacklevel="0f" gamma="0" o:title="RTX20171031-121501@2x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CPU架构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  <w:lang w:val="en-US" w:eastAsia="zh-CN"/>
        </w:rPr>
        <w:t>TVSAccountSDK</w:t>
      </w:r>
      <w:r>
        <w:rPr>
          <w:rFonts w:hint="eastAsia"/>
          <w:highlight w:val="yellow"/>
        </w:rPr>
        <w:t>仅支持arm64架构</w:t>
      </w:r>
      <w:r>
        <w:rPr>
          <w:rFonts w:hint="eastAsia"/>
          <w:highlight w:val="yellow"/>
          <w:lang w:val="en-US" w:eastAsia="zh-CN"/>
        </w:rPr>
        <w:t>真机调试</w:t>
      </w:r>
      <w:r>
        <w:rPr>
          <w:rFonts w:hint="eastAsia"/>
        </w:rPr>
        <w:t>，请注意Build Settings页的Architectures相关设置；其他架构的SDK如有需要请联系SDK开发人员。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2" o:spid="_x0000_s1031" type="#_x0000_t75" style="height:77.2pt;width:314.2pt;rotation:0f;" o:ole="f" fillcolor="#FFFFFF" filled="f" o:preferrelative="t" stroked="f" coordorigin="0,0" coordsize="21600,21600">
            <v:fill on="f" color2="#FFFFFF" focus="0%"/>
            <v:imagedata gain="65536f" blacklevel="0f" gamma="0" o:title="82DAD0C0-3549-4DFD-B358-606C10DEAFCB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93.35pt;width:378.2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pStyle w:val="6"/>
        <w:ind w:left="360" w:firstLine="0" w:firstLineChars="0"/>
        <w:rPr>
          <w:rFonts w:hint="eastAsia" w:eastAsia="等线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所有操作均通过TVSAccountSDK：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33" type="#_x0000_t75" style="height:349.15pt;width:303.3pt;rotation:0f;" o:ole="f" fillcolor="#FFFFFF" filled="f" o:preferrelative="t" stroked="f" coordorigin="0,0" coordsize="21600,21600">
            <v:fill on="f" color2="#FFFFFF" focus="0%"/>
            <v:imagedata gain="65536f" blacklevel="0f" gamma="0" o:title="1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如果要接收登录/刷新token、拉取验证码、绑定手机号、绑定地址、查询地址等事件的回调，首先要注册通知接收：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2" o:spid="_x0000_s1034" type="#_x0000_t75" style="height:34.8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5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并在必要的时候取消注册：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5" type="#_x0000_t75" style="height:34.35pt;width:330.55pt;rotation:0f;" o:ole="f" fillcolor="#FFFFFF" filled="f" o:preferrelative="t" stroked="f" coordorigin="0,0" coordsize="21600,21600">
            <v:fill on="f" color2="#FFFFFF" focus="0%"/>
            <v:imagedata gain="65536f" blacklevel="0f" gamma="0" o:title="2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处理通知事件：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6" type="#_x0000_t75" style="height:282.95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3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Header Char"/>
    <w:basedOn w:val="5"/>
    <w:link w:val="4"/>
    <w:uiPriority w:val="99"/>
    <w:rPr>
      <w:sz w:val="18"/>
      <w:szCs w:val="18"/>
    </w:rPr>
  </w:style>
  <w:style w:type="character" w:customStyle="1" w:styleId="9">
    <w:name w:val="Footer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customXml" Target="../customXml/item1.xml"/><Relationship Id="rId17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2017-11-01T12:38:23Z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