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Biologische Version: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5057775</wp:posOffset>
            </wp:positionH>
            <wp:positionV relativeFrom="paragraph">
              <wp:posOffset>19050</wp:posOffset>
            </wp:positionV>
            <wp:extent cx="1254900" cy="1065578"/>
            <wp:effectExtent b="0" l="0" r="0" t="0"/>
            <wp:wrapSquare wrapText="bothSides" distB="19050" distT="19050" distL="19050" distR="19050"/>
            <wp:docPr descr="aktionspotential_md.jpg" id="1" name="image1.jpg"/>
            <a:graphic>
              <a:graphicData uri="http://schemas.openxmlformats.org/drawingml/2006/picture">
                <pic:pic>
                  <pic:nvPicPr>
                    <pic:cNvPr descr="aktionspotential_md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4900" cy="10655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Potentiale(binär) häufen sich(Analog). sobald Threshhold überschritten wird, wird Aktionspotential ausgelöst und steuern Hormonfluss. Problem: negative Potentiale von synapsen. auch aktionspotentiale können negativ sein.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(Widerspricht binärem Prinzip weil Trinär)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Mathematische Version: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4581525</wp:posOffset>
            </wp:positionH>
            <wp:positionV relativeFrom="paragraph">
              <wp:posOffset>66675</wp:posOffset>
            </wp:positionV>
            <wp:extent cx="1785938" cy="785516"/>
            <wp:effectExtent b="0" l="0" r="0" t="0"/>
            <wp:wrapSquare wrapText="bothSides" distB="19050" distT="19050" distL="19050" distR="19050"/>
            <wp:docPr descr="Unbenannt.png" id="4" name="image3.png"/>
            <a:graphic>
              <a:graphicData uri="http://schemas.openxmlformats.org/drawingml/2006/picture">
                <pic:pic>
                  <pic:nvPicPr>
                    <pic:cNvPr descr="Unbenannt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7855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Analoge Potenziale multipliziert mit Gewichtung (z.B. von Memristor) ergeben aktionspotential. keinen Schwellenwert. kein Ruhepotential. je nach Formel zwischen 0 und 1 oder -1 und 1.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2623908" cy="1189800"/>
            <wp:effectExtent b="0" l="0" r="0" t="0"/>
            <wp:docPr descr="Unbenannt.png" id="2" name="image2.png"/>
            <a:graphic>
              <a:graphicData uri="http://schemas.openxmlformats.org/drawingml/2006/picture">
                <pic:pic>
                  <pic:nvPicPr>
                    <pic:cNvPr descr="Unbenannt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3908" cy="118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2160051" cy="1189807"/>
            <wp:effectExtent b="0" l="0" r="0" t="0"/>
            <wp:docPr descr="1200px-Hyperbolic_Tangent.svg.png" id="3" name="image4.png"/>
            <a:graphic>
              <a:graphicData uri="http://schemas.openxmlformats.org/drawingml/2006/picture">
                <pic:pic>
                  <pic:nvPicPr>
                    <pic:cNvPr descr="1200px-Hyperbolic_Tangent.svg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51" cy="1189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Rückrechnung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Wichtigste Aspekte: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Aktivierungsfunktion</w:t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-x</m:t>
                </m:r>
              </m:sup>
            </m:sSup>
          </m:den>
        </m:f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(</w:t>
      </w:r>
      <w:r w:rsidDel="00000000" w:rsidR="00000000" w:rsidRPr="00000000">
        <w:rPr>
          <w:rtl w:val="0"/>
        </w:rPr>
        <w:t xml:space="preserve">reicht von 0-1) abhängig von x=input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Errorfunktion</w:t>
      </w:r>
      <m:oMath>
        <m:r>
          <w:rPr>
            <w:rFonts w:ascii="Cambria Math" w:cs="Cambria Math" w:eastAsia="Cambria Math" w:hAnsi="Cambria Math"/>
          </w:rPr>
          <m:t xml:space="preserve">E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'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,Y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Y-y'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Unterschied zwischen sollout und istout (quadriert und halbiert)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Delta w </w:t>
      </w:r>
      <m:oMath>
        <m:r>
          <w:rPr>
            <w:rFonts w:ascii="Cambria Math" w:cs="Cambria Math" w:eastAsia="Cambria Math" w:hAnsi="Cambria Math"/>
          </w:rPr>
          <m:t xml:space="preserve">∆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∂E(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'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,Y)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  <w:t xml:space="preserve"> (Ableitung von error nach w=-x)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