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Begründung der Themenwahl</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Fokus</w:t>
      </w:r>
    </w:p>
    <w:p w:rsidR="00000000" w:rsidDel="00000000" w:rsidP="00000000" w:rsidRDefault="00000000" w:rsidRPr="00000000" w14:paraId="00000004">
      <w:pPr>
        <w:ind w:left="0" w:firstLine="0"/>
        <w:rPr/>
      </w:pPr>
      <w:r w:rsidDel="00000000" w:rsidR="00000000" w:rsidRPr="00000000">
        <w:rPr>
          <w:rtl w:val="0"/>
        </w:rPr>
        <w:t xml:space="preserve">Wie bereits erwähnt sind wir Elektroniker. Darum werden wir alle biologischen Aspekte eines Neurons in elektronischer Form umsetzen. bei einigen Aspekten ist das entweder nicht möglich oder sprengt schlicht den Rahmen einer BMA. vor allem, da wir ja kein biologisches Fachwissen besitzen. Darum legen wir den Fokus bei unserem Produkt auf Elektronisch realisierbare Aspekte eines Neurons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Fragestellung</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Vorgehen</w:t>
      </w:r>
    </w:p>
    <w:p w:rsidR="00000000" w:rsidDel="00000000" w:rsidP="00000000" w:rsidRDefault="00000000" w:rsidRPr="00000000" w14:paraId="00000007">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