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课程总结报告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1、理论部分梳理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第一章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计算机网络概述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center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本章学习了如下内容：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计算机网络的产生与发展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计算机网络的功能、计算机网络的基本组成、计算机网络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从功能上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划分的逻辑结构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计算机网络的拓扑结构（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总线型、环型、星型、树型、网状结构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及特点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计算机网络体系结构、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协议与分层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OSI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参考模型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OSI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模型特点、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TCP/IP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参考模型、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/>
        </w:rPr>
        <w:t>OSI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/>
        </w:rPr>
        <w:t>TCP/IP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参考模型对比、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五层体系结构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各层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应用层、表示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层、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会话层、传输层、网络层、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数据链路层、物理层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的数据单元名称/作用/特点/提供服务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网络通信基础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本章学习了如下内容：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hanging="425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数据通信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基本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模型、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模拟通信系统（模拟、连续的信号）与数字通信系统（离散信号）、数据编码技术、数字数据的模拟信号编码（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FSK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模拟数据的数字信号编码（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/>
        </w:rPr>
        <w:t>PCM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脉冲编码调制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通信信道、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物理信道与逻辑信道、性能指标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数据通信方式（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单工、半双工、全双工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）、多路复用技术、数据交换技术（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线路交换、报文交换、分组交换、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数据报交换、虚电路交换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hanging="425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各种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传输介质（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有线传输介质、无线传输介质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特性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网络互联与局域网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本章学习了如下内容：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hanging="36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网络互联概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、网络连接设备（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网卡、路由器、网桥、交换机、中继器、集线器、网关等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及其所处层次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、网络互联类型（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局域网、广域网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及特点、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常用设备（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网线、直通线、交叉线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right="0" w:hanging="36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局域网参考模型、局域网类型（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共享介质局域网、交换式局域网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）、共享介质局域网中的介质访问控制方法（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随机访问控制、轮流访问控制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令牌环网、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以太网（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共享式以太网、交换式以太网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hanging="36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虚拟局域网（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VLAN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的概念与优点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第四章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/>
        </w:rPr>
        <w:t xml:space="preserve"> Internet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基础与应用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 w:leftChars="0"/>
        <w:textAlignment w:val="center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本章学习了如下内容：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Internet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基本概念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/组成要素/工作模式（C/S、B/S、P2P）、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none"/>
          <w:lang w:val="en-US"/>
        </w:rPr>
        <w:t>Internet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none"/>
          <w:lang w:eastAsia="zh-CN"/>
        </w:rPr>
        <w:t>地址结构、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与因特网相关的地址管理机制、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ARP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协议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从OSI模型看编址机制、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因特网主机的四个重要参数（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IP地址、子网掩码、网关、DNS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IP地址分类、特殊IP地址、直接交付与间接交付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无类别域间路由选择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CIDR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（无分类编址）、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路由聚合与子网划分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默认网关（路由器地址）、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域名系统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DNS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DHCP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服务器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统一资源定位器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URL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Internet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的接入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WWW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万维网、架设网站服务器的两种实现方法（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IIS、Apache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完整的Web通信示例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电子邮件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概述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  <w:t>CS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模式）、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SMTP协议、POP3协议、IMAP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 xml:space="preserve">第五章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网络安全与维护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本章学习了如下内容：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网络安全：造成计算机网络不安全的因素、计算机网络通信威胁（被动攻击、主动攻击）、加密技术（对称密码体制、非对称密码体制）、数字签名与数字认证、安全协议与VPN、HTTPS传输数据流程、防火墙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网络故障诊断：网络排错步骤、常用命令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网络维护：</w:t>
      </w:r>
      <w:r>
        <w:rPr>
          <w:rFonts w:hint="eastAsia"/>
          <w:sz w:val="24"/>
          <w:szCs w:val="24"/>
          <w:lang w:val="en-US" w:eastAsia="zh-CN"/>
        </w:rPr>
        <w:t>网络灾难与恢复、硬件备份技术、软件备份技术、RAID级别、磁盘阵列分类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2、实验部分梳理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 VMware Workstation的基本使用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虚拟机概述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VMware Workstation虚拟机的系统需求（内存、硬盘空间、主机操作系统、网络）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VMware Workstation虚拟网卡的关系、三种网络连接方式（桥接网络、NAT网络、主机网络）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文件夹管理虚拟机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VMware Workstation的虚拟网络设备（虚拟交换机、虚拟服务器和虚拟工作站、虚拟三层交换机和路由器）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虚拟机快照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配置VMware Workstation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设置虚拟网络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创建虚拟机裸机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修改虚拟机配置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使用文件夹管理虚拟机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实验三 在虚拟机中安装Windows Server 2016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创建模版虚拟机的目的与方法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安装Windows Server 2016操作系统</w:t>
      </w:r>
    </w:p>
    <w:p>
      <w:pPr>
        <w:keepNext w:val="0"/>
        <w:keepLines w:val="0"/>
        <w:pageBreakBefore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安装VMware Tools</w:t>
      </w:r>
    </w:p>
    <w:p>
      <w:pPr>
        <w:keepNext w:val="0"/>
        <w:keepLines w:val="0"/>
        <w:pageBreakBefore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安装常用和必须软件</w:t>
      </w:r>
    </w:p>
    <w:p>
      <w:pPr>
        <w:keepNext w:val="0"/>
        <w:keepLines w:val="0"/>
        <w:pageBreakBefore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创建虚拟机快照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实验四 Windows对等局域网组建与TCP/IP常用命令的使用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对等网的组建方法</w:t>
      </w:r>
    </w:p>
    <w:p>
      <w:pPr>
        <w:keepNext w:val="0"/>
        <w:keepLines w:val="0"/>
        <w:pageBreakBefore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对等局域网下共享资源的设置和使用</w:t>
      </w:r>
    </w:p>
    <w:p>
      <w:pPr>
        <w:keepNext w:val="0"/>
        <w:keepLines w:val="0"/>
        <w:pageBreakBefore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TCP/IP常用命令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（Ping、ipconfig、netstat、arp）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克隆虚拟机</w:t>
      </w:r>
    </w:p>
    <w:p>
      <w:pPr>
        <w:keepNext w:val="0"/>
        <w:keepLines w:val="0"/>
        <w:pageBreakBefore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组建对等网并创建用户、设置计算机网络标识、设置IP地址</w:t>
      </w:r>
    </w:p>
    <w:p>
      <w:pPr>
        <w:keepNext w:val="0"/>
        <w:keepLines w:val="0"/>
        <w:pageBreakBefore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设置与使用共享文件夹，用户权限、共享隐藏、设置和使用共享打印机</w:t>
      </w:r>
    </w:p>
    <w:p>
      <w:pPr>
        <w:keepNext w:val="0"/>
        <w:keepLines w:val="0"/>
        <w:pageBreakBefore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映射网络驱动器</w:t>
      </w:r>
    </w:p>
    <w:p>
      <w:pPr>
        <w:keepNext w:val="0"/>
        <w:keepLines w:val="0"/>
        <w:pageBreakBefore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常用命令的使用（Ping、ipconfig、netstat、arp）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实验五 Active Directory（活动目录）的安装与管理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文件系统</w:t>
      </w:r>
    </w:p>
    <w:p>
      <w:pPr>
        <w:keepNext w:val="0"/>
        <w:keepLines w:val="0"/>
        <w:pageBreakBefore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域及其相关概念（对象、组织单位、域、域树、域森林）</w:t>
      </w:r>
    </w:p>
    <w:p>
      <w:pPr>
        <w:keepNext w:val="0"/>
        <w:keepLines w:val="0"/>
        <w:pageBreakBefore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活动目录</w:t>
      </w:r>
    </w:p>
    <w:p>
      <w:pPr>
        <w:keepNext w:val="0"/>
        <w:keepLines w:val="0"/>
        <w:pageBreakBefore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 Server 2016的多种角色（域控制器、成员服务器、独立服务器）</w:t>
      </w:r>
    </w:p>
    <w:p>
      <w:pPr>
        <w:keepNext w:val="0"/>
        <w:keepLines w:val="0"/>
        <w:pageBreakBefore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用户与组、用户账号分类（本地用户、域用户、内置用户）、组的类型（安全组、通讯组）、组的作用域（全局组、本地域组、通用组）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安装活动目录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配置AD、创建组织单位、创建域组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创建域用户并管理、调整域安全策略、配置域用户属性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将客户机加入域，并利用域用户登录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实验六 DHCP服务器的安装与配置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DHCP的功能</w:t>
      </w: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DHCP服务器给DHCP客户机提供IP地址的两种形式（永久租用、限定租用）</w:t>
      </w: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DHCP的工作原理（发现、提供、请求、应答）</w:t>
      </w: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超级作用域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安装DHCP服务器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创建并配置DHCP作用域，用于指定分配的IP地址范围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添加保留IP地址、配置作用域选项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配置DHCP客户机，使其自动获取IP地址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新建删除范围，在子网内设置不连续的作用域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创建超级作用域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删除超级作用域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实验七 DNS服务器的安装与配置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名称解析（DNS服务、WINS服务）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DNS概念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DNS正向搜索与反向搜索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DNS区域（主要区域、辅助区域、存根区域）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DNS服务器的种类（主要名称服务器、辅助名称服务器、主控名称服务器、Cache-only名称服务器）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DNS中转发器的功能和应用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缓存与生存时间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安装DNS服务器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创建正向查找区域及其记录，实现域名到IP的解析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创建反向查找区域及其记录，实现IP到域名的解析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配置动态DNS服务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配置DNS客户机，自动获取IP地址及DNS服务器地址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DNS测试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实验八 网络的基本管理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NTFS文件系统管理：共享文件夹、文件和文件夹的NTFS权限、文件/文件夹的用户有效权限、EFS文件加密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磁盘管理：基本磁盘与动态磁盘、磁盘配额管理、更改驱动器名和路径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用户工作环境的管理：用户配置文件、登录脚本、主文件夹、环境变量、组策略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文件系统管理：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创建NTFS文件系统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设置NTFS权限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测试NTFS权限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对文件夹/文件进行EFS加密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磁盘管理：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启动磁盘管理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磁盘配额管理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更改驱动器名和路径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用户工作环境管理：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用户配置文件的设置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域用户账号登录脚本的定义与设置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主文件夹的设置</w:t>
      </w:r>
    </w:p>
    <w:p>
      <w:pPr>
        <w:keepNext w:val="0"/>
        <w:keepLines w:val="0"/>
        <w:pageBreakBefore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组策略的设置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实验九 Web服务器的安装与配置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IIS概述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Web服务器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Web服务器身份验证分类（匿名身份验证、基本身份验证、Windows身份验证和摘要式身份验证）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端口映射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安装IIS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创建Web服务器：新建Web站点、新建Web虚拟目录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管理Web服务器：编辑Web站点的基本信息、为Web站点设置默认文档、设置Web站点的安全性、启动和停止Web站点、远程管理Web站点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访问Web站点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实验十一 共享上网及软路由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知识要点：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与因特网连接的方式：路由器连接、NAT连接、利用Internet连接共享连接、代理服务器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各种因特网连接方式比较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代理服务概述：CCProxy、WinGate、SyGate、SocksCap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实验内容：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利用代理服务器共享上网：安装CCProxy、配置代理服务器（设置CCProxy、新建CCProxy账号、创建并应用网站过滤规则）、配置客户机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利用NAT共享上网：安装远程访问服务、启动和配置NAT服务器、设置端口映射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配置软路由：安装远程访问服务、启用和配置路由服务、配置路由表、增加静态路由、测试子网连通情况、测试客户机上网情况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3、收获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网络实用技术很符合我对这门课的期待，是一门综合了理论和实践的好课。前半学期的理论部分帮助我巩固了网络相关的基础知识，后半学期的实践让我切实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掌握了一些实际生活中的网络管理技术应用。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尤其在我完成最后的课程大作业时，通过不断地碰壁去回顾之前的实验步骤的知识，对实验有了更深的理解。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完成实验的过程中我喜欢上了机房不冷不热的环境，对虚拟机相关操作更加熟悉，也收获了不少新奇的体验。因为门户上写的机房关闭时间为九点半，所以当第一次九点整被强制关机时，没有来得及保存当前工作内容，导致快照损坏，百般尝试修复未果，只好第二天返工；晚饭后在机房里做实验，由于教室喇叭是联通的，被迫听了两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唐大仕老师的JAVA课；因为实验过程不太顺利导致机时用尽，请张勤健老师帮忙加时长；接连几天在机房待到最后一刻被阿姨驱赶催促。这些小插曲都成为了网络实用技术带给我的生动回忆。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4、意见和建议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理论部分可以按章节布置作业，对每次作业进行及时评分，或者以选择填空的方式进行课堂小测，既可以作为课堂签到又可以帮助同学们复习巩固。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课程的实践部分是以分组的形式完成的，组内人选是由学期中随机分配的。这种分配方式虽然减少了同学们自行组队的麻烦，却也容易陷入被动。大家选课时的年级学院不同，对课程分数的期望不同，愿意付出的精力也不相同，这就容易导致合作的不愉快。建议以后自行组队，并且实践报告和期末大作业可以进行不同组队，这样以便大家各取所需，找到志同道合的伙伴，做出更好的成果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5、结语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在我编辑本篇课程总结报告的过程中，每一节课、每一次实验都历历在目，不禁感叹于课程容量的丰富。短短十六周的课程，原来已经有了这么多的收获，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教材小蓝书也将成为我的实用工具书伴随我解决更多难题。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最后，感谢老师和助教一学期的辛苦付出！祝网络实用技术课程越办越好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5" name="文本框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8S1gbeAgAAKA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A8S1gbeAgAAKA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马佳媛 2000013121 信息科学技术学院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3A310"/>
    <w:multiLevelType w:val="singleLevel"/>
    <w:tmpl w:val="82A3A31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6D82F63"/>
    <w:multiLevelType w:val="multilevel"/>
    <w:tmpl w:val="86D82F6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8B5A42C6"/>
    <w:multiLevelType w:val="multilevel"/>
    <w:tmpl w:val="8B5A42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58DAF26"/>
    <w:multiLevelType w:val="singleLevel"/>
    <w:tmpl w:val="958DAF2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9E971AA4"/>
    <w:multiLevelType w:val="multilevel"/>
    <w:tmpl w:val="9E971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F6A9F61"/>
    <w:multiLevelType w:val="singleLevel"/>
    <w:tmpl w:val="9F6A9F6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BAF8B64F"/>
    <w:multiLevelType w:val="singleLevel"/>
    <w:tmpl w:val="BAF8B64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BE3AE6FF"/>
    <w:multiLevelType w:val="multilevel"/>
    <w:tmpl w:val="BE3AE6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7998AD2"/>
    <w:multiLevelType w:val="multilevel"/>
    <w:tmpl w:val="C7998AD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C98BD4BB"/>
    <w:multiLevelType w:val="multilevel"/>
    <w:tmpl w:val="C98BD4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DA0E4334"/>
    <w:multiLevelType w:val="multilevel"/>
    <w:tmpl w:val="DA0E4334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11">
    <w:nsid w:val="03DE97C1"/>
    <w:multiLevelType w:val="multilevel"/>
    <w:tmpl w:val="03DE97C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2">
    <w:nsid w:val="178702AB"/>
    <w:multiLevelType w:val="singleLevel"/>
    <w:tmpl w:val="178702A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3">
    <w:nsid w:val="2716B6F3"/>
    <w:multiLevelType w:val="multilevel"/>
    <w:tmpl w:val="2716B6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C8F4162"/>
    <w:multiLevelType w:val="multilevel"/>
    <w:tmpl w:val="2C8F41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310C7AEE"/>
    <w:multiLevelType w:val="singleLevel"/>
    <w:tmpl w:val="310C7AE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6">
    <w:nsid w:val="3586B3DA"/>
    <w:multiLevelType w:val="multilevel"/>
    <w:tmpl w:val="3586B3D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7">
    <w:nsid w:val="54BF03F3"/>
    <w:multiLevelType w:val="multilevel"/>
    <w:tmpl w:val="54BF03F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8">
    <w:nsid w:val="551A6BF2"/>
    <w:multiLevelType w:val="multilevel"/>
    <w:tmpl w:val="551A6B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A181D45"/>
    <w:multiLevelType w:val="multilevel"/>
    <w:tmpl w:val="5A181D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7407DFF1"/>
    <w:multiLevelType w:val="singleLevel"/>
    <w:tmpl w:val="7407DFF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1">
    <w:nsid w:val="78AE15BB"/>
    <w:multiLevelType w:val="singleLevel"/>
    <w:tmpl w:val="78AE15B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2">
    <w:nsid w:val="7FB3961D"/>
    <w:multiLevelType w:val="multilevel"/>
    <w:tmpl w:val="7FB396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7"/>
  </w:num>
  <w:num w:numId="5">
    <w:abstractNumId w:val="22"/>
  </w:num>
  <w:num w:numId="6">
    <w:abstractNumId w:val="19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3"/>
  </w:num>
  <w:num w:numId="12">
    <w:abstractNumId w:val="18"/>
  </w:num>
  <w:num w:numId="13">
    <w:abstractNumId w:val="20"/>
  </w:num>
  <w:num w:numId="14">
    <w:abstractNumId w:val="21"/>
  </w:num>
  <w:num w:numId="15">
    <w:abstractNumId w:val="5"/>
  </w:num>
  <w:num w:numId="16">
    <w:abstractNumId w:val="6"/>
  </w:num>
  <w:num w:numId="17">
    <w:abstractNumId w:val="0"/>
  </w:num>
  <w:num w:numId="18">
    <w:abstractNumId w:val="15"/>
  </w:num>
  <w:num w:numId="19">
    <w:abstractNumId w:val="1"/>
  </w:num>
  <w:num w:numId="20">
    <w:abstractNumId w:val="11"/>
  </w:num>
  <w:num w:numId="21">
    <w:abstractNumId w:val="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4NzRlZWYwYmIxNTkzZjJkYTY2N2ZiYzU3OGI4MmYifQ=="/>
  </w:docVars>
  <w:rsids>
    <w:rsidRoot w:val="00000000"/>
    <w:rsid w:val="014267AC"/>
    <w:rsid w:val="12163CE1"/>
    <w:rsid w:val="14B940A6"/>
    <w:rsid w:val="1B993A77"/>
    <w:rsid w:val="22E13176"/>
    <w:rsid w:val="298D4206"/>
    <w:rsid w:val="2F1B5DA7"/>
    <w:rsid w:val="32287D96"/>
    <w:rsid w:val="50946380"/>
    <w:rsid w:val="5761265B"/>
    <w:rsid w:val="641F3A4E"/>
    <w:rsid w:val="64950FB0"/>
    <w:rsid w:val="65DC5DBF"/>
    <w:rsid w:val="6F17750E"/>
    <w:rsid w:val="71ED6B06"/>
    <w:rsid w:val="754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3361</Words>
  <Characters>3842</Characters>
  <Lines>0</Lines>
  <Paragraphs>0</Paragraphs>
  <TotalTime>25</TotalTime>
  <ScaleCrop>false</ScaleCrop>
  <LinksUpToDate>false</LinksUpToDate>
  <CharactersWithSpaces>3870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2023-06-03T13:16:53Z</dcterms:created>
  <dc:creator>tende</dc:creator>
  <cp:lastModifiedBy>绘梨衣</cp:lastModifiedBy>
  <dcterms:modified xsi:type="dcterms:W3CDTF">2023-06-04T15:32:08Z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00CEEDFE90A3417883C74A666F1B0C5D_12</vt:lpwstr>
  </property>
</Properties>
</file>