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6366F1"/>
                <w:sz w:val="18"/>
                <w:szCs w:val="18"/>
              </w:rPr>
              <w:t xml:space="preserve">TenderZen</w:t>
            </w:r>
          </w:p>
          <w:p>
            <w:pPr>
              <w:spacing w:before="60" w:after="80"/>
              <w:jc w:val="left"/>
            </w:pPr>
            <w:r>
              <w:rPr>
                <w:rFonts w:ascii="Calibri" w:cs="Calibri" w:eastAsia="Calibri" w:hAnsi="Calibri"/>
                <w:b/>
                <w:bCs/>
                <w:color w:val="0F172A"/>
                <w:sz w:val="36"/>
                <w:szCs w:val="36"/>
              </w:rPr>
              <w:t xml:space="preserve">AI Generatie Module</w:t>
            </w:r>
          </w:p>
          <w:p>
            <w:pPr>
              <w:spacing w:before="40" w:after="80"/>
              <w:jc w:val="left"/>
            </w:pPr>
            <w:r>
              <w:rPr>
                <w:rFonts w:ascii="Calibri" w:cs="Calibri" w:eastAsia="Calibri" w:hAnsi="Calibri"/>
                <w:color w:val="475569"/>
                <w:sz w:val="22"/>
                <w:szCs w:val="22"/>
              </w:rPr>
              <w:t xml:space="preserve">Functioneel Ontwerp v1.0</w:t>
            </w:r>
          </w:p>
          <w:p>
            <w:pPr>
              <w:spacing w:before="80" w:after="80"/>
              <w:jc w:val="left"/>
            </w:pPr>
            <w:r>
              <w:rPr>
                <w:rFonts w:ascii="Calibri" w:cs="Calibri" w:eastAsia="Calibri" w:hAnsi="Calibri"/>
                <w:color w:val="475569"/>
                <w:sz w:val="18"/>
                <w:szCs w:val="18"/>
              </w:rPr>
              <w:t xml:space="preserve">26 februari 2026</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1"/>
              <w:bottom w:val="single" w:color="2563EB" w:sz="1"/>
              <w:right w:val="single" w:color="2563EB" w:sz="1"/>
            </w:tcBorders>
            <w:shd w:fill="EFF6FF" w:val="clear"/>
            <w:tcMar>
              <w:top w:type="dxa" w:w="100"/>
              <w:left w:type="dxa" w:w="160"/>
              <w:bottom w:type="dxa" w:w="100"/>
              <w:right w:type="dxa" w:w="160"/>
            </w:tcMar>
          </w:tcPr>
          <w:p>
            <w:pPr>
              <w:spacing w:before="0" w:after="80"/>
              <w:jc w:val="left"/>
            </w:pPr>
            <w:r>
              <w:rPr>
                <w:rFonts w:ascii="Calibri" w:cs="Calibri" w:eastAsia="Calibri" w:hAnsi="Calibri"/>
                <w:color w:val="334155"/>
                <w:sz w:val="19"/>
                <w:szCs w:val="19"/>
              </w:rPr>
              <w:t xml:space="preserve">Dit document beschrijft de functionele werking van de AI Generatie module binnen TenderZen. Het dient als basis voor de technische uitwerking en als referentie voor product-beslissingen.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Versie</w:t>
            </w:r>
          </w:p>
        </w:tc>
        <w:tc>
          <w:tcPr>
            <w:tcW w:type="dxa" w:w="6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1.0 — initieel ontwerp</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Datum</w:t>
            </w:r>
          </w:p>
        </w:tc>
        <w:tc>
          <w:tcPr>
            <w:tcW w:type="dxa" w:w="6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26 februari 2026</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Status</w:t>
            </w:r>
          </w:p>
        </w:tc>
        <w:tc>
          <w:tcPr>
            <w:tcW w:type="dxa" w:w="6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Ter review</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Auteur</w:t>
            </w:r>
          </w:p>
        </w:tc>
        <w:tc>
          <w:tcPr>
            <w:tcW w:type="dxa" w:w="6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TenderZen Product</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Gerelateerd</w:t>
            </w:r>
          </w:p>
        </w:tc>
        <w:tc>
          <w:tcPr>
            <w:tcW w:type="dxa" w:w="6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Smart Import Wizard v4, TCC v2.0</w:t>
            </w:r>
          </w:p>
        </w:tc>
      </w:tr>
    </w:tbl>
    <w:p>
      <w:r>
        <w:t xml:space="preserve"/>
      </w:r>
    </w:p>
    <w:p>
      <w:pPr>
        <w:pStyle w:val="Heading1"/>
        <w:spacing w:before="320" w:after="160"/>
      </w:pPr>
      <w:r>
        <w:rPr>
          <w:rFonts w:ascii="Calibri" w:cs="Calibri" w:eastAsia="Calibri" w:hAnsi="Calibri"/>
          <w:b/>
          <w:bCs/>
          <w:color w:val="4338CA"/>
          <w:sz w:val="32"/>
          <w:szCs w:val="32"/>
        </w:rPr>
        <w:t xml:space="preserve">1. Context &amp; Aanleiding</w:t>
      </w:r>
    </w:p>
    <w:p>
      <w:pPr>
        <w:spacing w:before="80" w:after="80"/>
        <w:jc w:val="left"/>
      </w:pPr>
      <w:r>
        <w:rPr>
          <w:rFonts w:ascii="Calibri" w:cs="Calibri" w:eastAsia="Calibri" w:hAnsi="Calibri"/>
          <w:color w:val="0F172A"/>
          <w:sz w:val="20"/>
          <w:szCs w:val="20"/>
        </w:rPr>
        <w:t xml:space="preserve">TenderZen ondersteunt twee duidelijk gescheiden fasen in het tenderproces: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F59E0B" w:sz="1"/>
              <w:left w:val="single" w:color="F59E0B" w:sz="1"/>
              <w:bottom w:val="single" w:color="F59E0B" w:sz="1"/>
              <w:right w:val="single" w:color="F59E0B" w:sz="1"/>
            </w:tcBorders>
            <w:shd w:fill="FFFBEB" w:val="clear"/>
            <w:tcMar>
              <w:top w:type="dxa" w:w="100"/>
              <w:left w:type="dxa" w:w="160"/>
              <w:bottom w:type="dxa" w:w="100"/>
              <w:right w:type="dxa" w:w="160"/>
            </w:tcMar>
          </w:tcPr>
          <w:p>
            <w:pPr>
              <w:spacing w:before="0" w:after="80"/>
              <w:jc w:val="left"/>
            </w:pPr>
            <w:r>
              <w:rPr>
                <w:rFonts w:ascii="Calibri" w:cs="Calibri" w:eastAsia="Calibri" w:hAnsi="Calibri"/>
                <w:b/>
                <w:bCs/>
                <w:color w:val="F59E0B"/>
                <w:sz w:val="20"/>
                <w:szCs w:val="20"/>
              </w:rPr>
              <w:t xml:space="preserve">Fase 1 — Acquisitie</w:t>
            </w:r>
          </w:p>
          <w:p>
            <w:pPr>
              <w:spacing w:before="60" w:after="80"/>
              <w:jc w:val="left"/>
            </w:pPr>
            <w:r>
              <w:rPr>
                <w:rFonts w:ascii="Calibri" w:cs="Calibri" w:eastAsia="Calibri" w:hAnsi="Calibri"/>
                <w:color w:val="334155"/>
                <w:sz w:val="19"/>
                <w:szCs w:val="19"/>
              </w:rPr>
              <w:t xml:space="preserve">De tender is nog onzeker. Het doel is verkennen: is dit een kansrijke tender? Willen we inschrijven? De Smart Import Wizard maakt de tender aan in het systeem op basis van de aanbestedingsdocumenten. AI Generatie wordt ingezet voor haalbaarheidsonderzoek.</w:t>
            </w:r>
          </w:p>
        </w:tc>
        <w:tc>
          <w:tcPr>
            <w:tcW w:type="dxa" w:w="4626"/>
            <w:tcBorders>
              <w:top w:val="single" w:color="16A34A" w:sz="1"/>
              <w:left w:val="single" w:color="16A34A" w:sz="1"/>
              <w:bottom w:val="single" w:color="16A34A" w:sz="1"/>
              <w:right w:val="single" w:color="16A34A" w:sz="1"/>
            </w:tcBorders>
            <w:shd w:fill="F0FDF4" w:val="clear"/>
            <w:tcMar>
              <w:top w:type="dxa" w:w="100"/>
              <w:left w:type="dxa" w:w="160"/>
              <w:bottom w:type="dxa" w:w="100"/>
              <w:right w:type="dxa" w:w="160"/>
            </w:tcMar>
          </w:tcPr>
          <w:p>
            <w:pPr>
              <w:spacing w:before="0" w:after="80"/>
              <w:jc w:val="left"/>
            </w:pPr>
            <w:r>
              <w:rPr>
                <w:rFonts w:ascii="Calibri" w:cs="Calibri" w:eastAsia="Calibri" w:hAnsi="Calibri"/>
                <w:b/>
                <w:bCs/>
                <w:color w:val="16A34A"/>
                <w:sz w:val="20"/>
                <w:szCs w:val="20"/>
              </w:rPr>
              <w:t xml:space="preserve">Fase 2 — Projectstart</w:t>
            </w:r>
          </w:p>
          <w:p>
            <w:pPr>
              <w:spacing w:before="60" w:after="80"/>
              <w:jc w:val="left"/>
            </w:pPr>
            <w:r>
              <w:rPr>
                <w:rFonts w:ascii="Calibri" w:cs="Calibri" w:eastAsia="Calibri" w:hAnsi="Calibri"/>
                <w:color w:val="334155"/>
                <w:sz w:val="19"/>
                <w:szCs w:val="19"/>
              </w:rPr>
              <w:t xml:space="preserve">De klant geeft akkoord en het project start. Dit is het moment waarop het systeem volledig wordt ingericht. Het Rode Draad Sessie Document is de spil: het wordt gegenereerd, goedgekeurd, en vult daarna automatisch Tenderplanning, Projectplanning, Checklist en Team in.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1"/>
              <w:left w:val="single" w:color="F59E0B" w:sz="1"/>
              <w:bottom w:val="single" w:color="F59E0B" w:sz="1"/>
              <w:right w:val="single" w:color="F59E0B" w:sz="1"/>
            </w:tcBorders>
            <w:shd w:fill="FFFBEB" w:val="clear"/>
            <w:tcMar>
              <w:top w:type="dxa" w:w="100"/>
              <w:left w:type="dxa" w:w="160"/>
              <w:bottom w:type="dxa" w:w="100"/>
              <w:right w:type="dxa" w:w="160"/>
            </w:tcMar>
          </w:tcPr>
          <w:p>
            <w:pPr>
              <w:spacing w:before="0" w:after="80"/>
              <w:jc w:val="left"/>
            </w:pPr>
            <w:r>
              <w:rPr>
                <w:rFonts w:ascii="Calibri" w:cs="Calibri" w:eastAsia="Calibri" w:hAnsi="Calibri"/>
                <w:color w:val="334155"/>
                <w:sz w:val="19"/>
                <w:szCs w:val="19"/>
              </w:rPr>
              <w:t xml:space="preserve">Belangrijk: er is geen geforceerde fase-overgang in de UI. De gebruiker bepaalt zelf wanneer welk document gegenereerd wordt. De fasescheiding is conceptueel, niet technisch afgedwongen.</w:t>
            </w:r>
          </w:p>
        </w:tc>
      </w:tr>
    </w:tbl>
    <w:p>
      <w:r>
        <w:t xml:space="preserve"/>
      </w:r>
    </w:p>
    <w:p>
      <w:pPr>
        <w:pStyle w:val="Heading1"/>
        <w:spacing w:before="320" w:after="160"/>
      </w:pPr>
      <w:r>
        <w:rPr>
          <w:rFonts w:ascii="Calibri" w:cs="Calibri" w:eastAsia="Calibri" w:hAnsi="Calibri"/>
          <w:b/>
          <w:bCs/>
          <w:color w:val="4338CA"/>
          <w:sz w:val="32"/>
          <w:szCs w:val="32"/>
        </w:rPr>
        <w:t xml:space="preserve">2. Centrale Architectuur</w:t>
      </w:r>
    </w:p>
    <w:p>
      <w:pPr>
        <w:spacing w:before="0" w:after="100"/>
        <w:jc w:val="left"/>
      </w:pPr>
      <w:r>
        <w:rPr>
          <w:rFonts w:ascii="Calibri" w:cs="Calibri" w:eastAsia="Calibri" w:hAnsi="Calibri"/>
          <w:color w:val="0F172A"/>
          <w:sz w:val="20"/>
          <w:szCs w:val="20"/>
        </w:rPr>
        <w:t xml:space="preserve">De AI Generatie sub-tab (onder AI Analyse in de TCC) is de centrale hub voor alle AI-gegenereerde documenten. De Workflow tab wordt vereenvoudigd tot een statusoverzicht. De logica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Tab</w:t>
            </w:r>
          </w:p>
        </w:tc>
        <w:tc>
          <w:tcPr>
            <w:tcW w:type="dxa" w:w="60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Rol</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AI Analyse → Analyse Resultaten</w:t>
            </w:r>
          </w:p>
        </w:tc>
        <w:tc>
          <w:tcPr>
            <w:tcW w:type="dxa" w:w="60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Resultaten van Smart Import tonen. Geen wijzigingen hier.</w:t>
            </w:r>
          </w:p>
        </w:tc>
      </w:tr>
      <w:tr>
        <w:tc>
          <w:tcPr>
            <w:tcW w:type="dxa" w:w="3000"/>
            <w:tcBorders>
              <w:top w:val="single" w:color="6366F1" w:sz="1"/>
              <w:left w:val="single" w:color="6366F1" w:sz="1"/>
              <w:bottom w:val="single" w:color="6366F1" w:sz="1"/>
              <w:right w:val="single" w:color="6366F1" w:sz="1"/>
            </w:tcBorders>
            <w:shd w:fill="EEF2FF" w:val="clear"/>
            <w:tcMar>
              <w:top w:type="dxa" w:w="100"/>
              <w:left w:type="dxa" w:w="160"/>
              <w:bottom w:type="dxa" w:w="100"/>
              <w:right w:type="dxa" w:w="160"/>
            </w:tcMar>
          </w:tcPr>
          <w:p>
            <w:pPr>
              <w:spacing w:before="0" w:after="80"/>
              <w:jc w:val="left"/>
            </w:pPr>
            <w:r>
              <w:rPr>
                <w:rFonts w:ascii="Calibri" w:cs="Calibri" w:eastAsia="Calibri" w:hAnsi="Calibri"/>
                <w:b/>
                <w:bCs/>
                <w:color w:val="0F172A"/>
                <w:sz w:val="18"/>
                <w:szCs w:val="18"/>
              </w:rPr>
              <w:t xml:space="preserve">AI Analyse → AI Generatie</w:t>
            </w:r>
          </w:p>
        </w:tc>
        <w:tc>
          <w:tcPr>
            <w:tcW w:type="dxa" w:w="6026"/>
            <w:tcBorders>
              <w:top w:val="single" w:color="6366F1" w:sz="1"/>
              <w:left w:val="single" w:color="6366F1" w:sz="1"/>
              <w:bottom w:val="single" w:color="6366F1" w:sz="1"/>
              <w:right w:val="single" w:color="6366F1"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Alle AI-documenten genereren, bekijken en goedkeuren. Centrale actie-hub. Bevat modelkeuze en document-selectie per document type.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Tenderplanning</w:t>
            </w:r>
          </w:p>
        </w:tc>
        <w:tc>
          <w:tcPr>
            <w:tcW w:type="dxa" w:w="60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Externe planning aanbestedende dienst. Gevuld via Smart Import of Rode Draad import.</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Projectplanning</w:t>
            </w:r>
          </w:p>
        </w:tc>
        <w:tc>
          <w:tcPr>
            <w:tcW w:type="dxa" w:w="60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Interne planning. Gevuld via backplanning of Rode Draad import.</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Checklist</w:t>
            </w:r>
          </w:p>
        </w:tc>
        <w:tc>
          <w:tcPr>
            <w:tcW w:type="dxa" w:w="60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Inleverlijst. Gevuld via backplanning of Rode Draad import.</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Documenten</w:t>
            </w:r>
          </w:p>
        </w:tc>
        <w:tc>
          <w:tcPr>
            <w:tcW w:type="dxa" w:w="60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Archief van alle documenten: aanbestedingsstukken (input) en AI-gegenereerde documenten (output).</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Workflow</w:t>
            </w:r>
          </w:p>
        </w:tc>
        <w:tc>
          <w:tcPr>
            <w:tcW w:type="dxa" w:w="60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Vereenvoudigd: statusoverzicht van gegenereerde documenten. Geen dubbele actieknoppen meer.</w:t>
            </w:r>
          </w:p>
        </w:tc>
      </w:tr>
    </w:tbl>
    <w:p>
      <w:r>
        <w:t xml:space="preserve"/>
      </w:r>
    </w:p>
    <w:p>
      <w:pPr>
        <w:pStyle w:val="Heading1"/>
        <w:spacing w:before="320" w:after="160"/>
      </w:pPr>
      <w:r>
        <w:rPr>
          <w:rFonts w:ascii="Calibri" w:cs="Calibri" w:eastAsia="Calibri" w:hAnsi="Calibri"/>
          <w:b/>
          <w:bCs/>
          <w:color w:val="4338CA"/>
          <w:sz w:val="32"/>
          <w:szCs w:val="32"/>
        </w:rPr>
        <w:t xml:space="preserve">3. De AI Generatie Flow</w:t>
      </w:r>
    </w:p>
    <w:p>
      <w:pPr>
        <w:spacing w:before="0" w:after="120"/>
        <w:jc w:val="left"/>
      </w:pPr>
      <w:r>
        <w:rPr>
          <w:rFonts w:ascii="Calibri" w:cs="Calibri" w:eastAsia="Calibri" w:hAnsi="Calibri"/>
          <w:color w:val="0F172A"/>
          <w:sz w:val="20"/>
          <w:szCs w:val="20"/>
        </w:rPr>
        <w:t xml:space="preserve">Voor elk document type doorloopt de gebruiker dezelfde 4-stappen flow. Dit zorgt voor consistentie en hergebruik van UI-componenten.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center"/>
            </w:pPr>
            <w:r>
              <w:rPr>
                <w:rFonts w:ascii="Calibri" w:cs="Calibri" w:eastAsia="Calibri" w:hAnsi="Calibri"/>
                <w:b/>
                <w:bCs/>
                <w:color w:val="FFFFFF"/>
                <w:sz w:val="28"/>
                <w:szCs w:val="28"/>
              </w:rPr>
              <w:t xml:space="preserve">1</w:t>
            </w:r>
          </w:p>
        </w:tc>
        <w:tc>
          <w:tcPr>
            <w:tcW w:type="dxa" w:w="8386"/>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b/>
                <w:bCs/>
                <w:color w:val="4338CA"/>
                <w:sz w:val="22"/>
                <w:szCs w:val="22"/>
              </w:rPr>
              <w:t xml:space="preserve">Document type kiezen</w:t>
            </w:r>
          </w:p>
          <w:p>
            <w:pPr>
              <w:spacing w:before="40" w:after="80"/>
              <w:jc w:val="left"/>
            </w:pPr>
            <w:r>
              <w:rPr>
                <w:rFonts w:ascii="Calibri" w:cs="Calibri" w:eastAsia="Calibri" w:hAnsi="Calibri"/>
                <w:color w:val="475569"/>
                <w:sz w:val="19"/>
                <w:szCs w:val="19"/>
              </w:rPr>
              <w:t xml:space="preserve">Gebruiker klikt op een document type in de AI Generatie grid (bijv. "Rode Draad Sessie"). Een modal opent.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center"/>
            </w:pPr>
            <w:r>
              <w:rPr>
                <w:rFonts w:ascii="Calibri" w:cs="Calibri" w:eastAsia="Calibri" w:hAnsi="Calibri"/>
                <w:b/>
                <w:bCs/>
                <w:color w:val="FFFFFF"/>
                <w:sz w:val="28"/>
                <w:szCs w:val="28"/>
              </w:rPr>
              <w:t xml:space="preserve">2</w:t>
            </w:r>
          </w:p>
        </w:tc>
        <w:tc>
          <w:tcPr>
            <w:tcW w:type="dxa" w:w="8386"/>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b/>
                <w:bCs/>
                <w:color w:val="4338CA"/>
                <w:sz w:val="22"/>
                <w:szCs w:val="22"/>
              </w:rPr>
              <w:t xml:space="preserve">Document selectie</w:t>
            </w:r>
          </w:p>
          <w:p>
            <w:pPr>
              <w:spacing w:before="40" w:after="80"/>
              <w:jc w:val="left"/>
            </w:pPr>
            <w:r>
              <w:rPr>
                <w:rFonts w:ascii="Calibri" w:cs="Calibri" w:eastAsia="Calibri" w:hAnsi="Calibri"/>
                <w:color w:val="475569"/>
                <w:sz w:val="19"/>
                <w:szCs w:val="19"/>
              </w:rPr>
              <w:t xml:space="preserve">Systeem toont alle beschikbare brondocumenten voor deze tender. Documenten uit de Smart Import zijn standaard aangevinkt. Gebruiker kan aanvinken/uitvinken en extra documenten uploaden.</w:t>
            </w:r>
          </w:p>
          <w:p>
            <w:pPr>
              <w:spacing w:before="30" w:after="80"/>
              <w:jc w:val="left"/>
            </w:pPr>
            <w:r>
              <w:rPr>
                <w:rFonts w:ascii="Calibri" w:cs="Calibri" w:eastAsia="Calibri" w:hAnsi="Calibri"/>
                <w:color w:val="334155"/>
                <w:sz w:val="18"/>
                <w:szCs w:val="18"/>
              </w:rPr>
              <w:t xml:space="preserve">→  Smart Import documenten → standaard geselecteerd</w:t>
            </w:r>
          </w:p>
          <w:p>
            <w:pPr>
              <w:spacing w:before="30" w:after="80"/>
              <w:jc w:val="left"/>
            </w:pPr>
            <w:r>
              <w:rPr>
                <w:rFonts w:ascii="Calibri" w:cs="Calibri" w:eastAsia="Calibri" w:hAnsi="Calibri"/>
                <w:color w:val="334155"/>
                <w:sz w:val="18"/>
                <w:szCs w:val="18"/>
              </w:rPr>
              <w:t xml:space="preserve">→  Overige geüploade documenten → optioneel beschikbaar</w:t>
            </w:r>
          </w:p>
          <w:p>
            <w:pPr>
              <w:spacing w:before="30" w:after="80"/>
              <w:jc w:val="left"/>
            </w:pPr>
            <w:r>
              <w:rPr>
                <w:rFonts w:ascii="Calibri" w:cs="Calibri" w:eastAsia="Calibri" w:hAnsi="Calibri"/>
                <w:color w:val="334155"/>
                <w:sz w:val="18"/>
                <w:szCs w:val="18"/>
              </w:rPr>
              <w:t xml:space="preserve">→  Nieuw uploaden → direct mogelijk via drag-and-drop in de modal</w:t>
            </w:r>
          </w:p>
          <w:p>
            <w:pPr>
              <w:spacing w:before="30" w:after="80"/>
              <w:jc w:val="left"/>
            </w:pPr>
            <w:r>
              <w:rPr>
                <w:rFonts w:ascii="Calibri" w:cs="Calibri" w:eastAsia="Calibri" w:hAnsi="Calibri"/>
                <w:color w:val="334155"/>
                <w:sz w:val="18"/>
                <w:szCs w:val="18"/>
              </w:rPr>
              <w:t xml:space="preserve">→  Minimaal 1 document vereist om te kunnen genereren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center"/>
            </w:pPr>
            <w:r>
              <w:rPr>
                <w:rFonts w:ascii="Calibri" w:cs="Calibri" w:eastAsia="Calibri" w:hAnsi="Calibri"/>
                <w:b/>
                <w:bCs/>
                <w:color w:val="FFFFFF"/>
                <w:sz w:val="28"/>
                <w:szCs w:val="28"/>
              </w:rPr>
              <w:t xml:space="preserve">3</w:t>
            </w:r>
          </w:p>
        </w:tc>
        <w:tc>
          <w:tcPr>
            <w:tcW w:type="dxa" w:w="8386"/>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b/>
                <w:bCs/>
                <w:color w:val="4338CA"/>
                <w:sz w:val="22"/>
                <w:szCs w:val="22"/>
              </w:rPr>
              <w:t xml:space="preserve">Model selectie</w:t>
            </w:r>
          </w:p>
          <w:p>
            <w:pPr>
              <w:spacing w:before="40" w:after="80"/>
              <w:jc w:val="left"/>
            </w:pPr>
            <w:r>
              <w:rPr>
                <w:rFonts w:ascii="Calibri" w:cs="Calibri" w:eastAsia="Calibri" w:hAnsi="Calibri"/>
                <w:color w:val="475569"/>
                <w:sz w:val="19"/>
                <w:szCs w:val="19"/>
              </w:rPr>
              <w:t xml:space="preserve">Gebruiker kiest het AI-model voor generatie. Per document type is een model voorgeselecteerd als aanbevolen keuze. Uitleg over snelheid, kwaliteit en geschatte kosten op basis van tokengebruik.</w:t>
            </w:r>
          </w:p>
          <w:p>
            <w:pPr>
              <w:spacing w:before="30" w:after="80"/>
              <w:jc w:val="left"/>
            </w:pPr>
            <w:r>
              <w:rPr>
                <w:rFonts w:ascii="Calibri" w:cs="Calibri" w:eastAsia="Calibri" w:hAnsi="Calibri"/>
                <w:color w:val="334155"/>
                <w:sz w:val="18"/>
                <w:szCs w:val="18"/>
              </w:rPr>
              <w:t xml:space="preserve">→  Haiku 4.5 → snel, economisch, geschikt voor structuurextractie</w:t>
            </w:r>
          </w:p>
          <w:p>
            <w:pPr>
              <w:spacing w:before="30" w:after="80"/>
              <w:jc w:val="left"/>
            </w:pPr>
            <w:r>
              <w:rPr>
                <w:rFonts w:ascii="Calibri" w:cs="Calibri" w:eastAsia="Calibri" w:hAnsi="Calibri"/>
                <w:color w:val="334155"/>
                <w:sz w:val="18"/>
                <w:szCs w:val="18"/>
              </w:rPr>
              <w:t xml:space="preserve">→  Sonnet 4.6 → aanbevolen balans voor de meeste documenten</w:t>
            </w:r>
          </w:p>
          <w:p>
            <w:pPr>
              <w:spacing w:before="30" w:after="80"/>
              <w:jc w:val="left"/>
            </w:pPr>
            <w:r>
              <w:rPr>
                <w:rFonts w:ascii="Calibri" w:cs="Calibri" w:eastAsia="Calibri" w:hAnsi="Calibri"/>
                <w:color w:val="334155"/>
                <w:sz w:val="18"/>
                <w:szCs w:val="18"/>
              </w:rPr>
              <w:t xml:space="preserve">→  Opus 4.6 → maximale kwaliteit voor complexe analyses</w:t>
            </w:r>
          </w:p>
          <w:p>
            <w:pPr>
              <w:spacing w:before="30" w:after="80"/>
              <w:jc w:val="left"/>
            </w:pPr>
            <w:r>
              <w:rPr>
                <w:rFonts w:ascii="Calibri" w:cs="Calibri" w:eastAsia="Calibri" w:hAnsi="Calibri"/>
                <w:color w:val="334155"/>
                <w:sz w:val="18"/>
                <w:szCs w:val="18"/>
              </w:rPr>
              <w:t xml:space="preserve">→  Geschatte kosten worden getoond op basis van gemiddeld tokengebruik per document type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center"/>
            </w:pPr>
            <w:r>
              <w:rPr>
                <w:rFonts w:ascii="Calibri" w:cs="Calibri" w:eastAsia="Calibri" w:hAnsi="Calibri"/>
                <w:b/>
                <w:bCs/>
                <w:color w:val="FFFFFF"/>
                <w:sz w:val="28"/>
                <w:szCs w:val="28"/>
              </w:rPr>
              <w:t xml:space="preserve">4</w:t>
            </w:r>
          </w:p>
        </w:tc>
        <w:tc>
          <w:tcPr>
            <w:tcW w:type="dxa" w:w="8386"/>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b/>
                <w:bCs/>
                <w:color w:val="4338CA"/>
                <w:sz w:val="22"/>
                <w:szCs w:val="22"/>
              </w:rPr>
              <w:t xml:space="preserve">Genereren, reviewen &amp; akkoord geven</w:t>
            </w:r>
          </w:p>
          <w:p>
            <w:pPr>
              <w:spacing w:before="40" w:after="80"/>
              <w:jc w:val="left"/>
            </w:pPr>
            <w:r>
              <w:rPr>
                <w:rFonts w:ascii="Calibri" w:cs="Calibri" w:eastAsia="Calibri" w:hAnsi="Calibri"/>
                <w:color w:val="475569"/>
                <w:sz w:val="19"/>
                <w:szCs w:val="19"/>
              </w:rPr>
              <w:t xml:space="preserve">Document wordt gegenereerd en getoond in een preview. Gebruiker kan het document beoordelen en akkoord geven of opnieuw genereren. Na akkoord: document opgeslagen, downstream tabs gevuld (alleen bij Rode Draad Sessie).</w:t>
            </w:r>
          </w:p>
          <w:p>
            <w:pPr>
              <w:spacing w:before="30" w:after="80"/>
              <w:jc w:val="left"/>
            </w:pPr>
            <w:r>
              <w:rPr>
                <w:rFonts w:ascii="Calibri" w:cs="Calibri" w:eastAsia="Calibri" w:hAnsi="Calibri"/>
                <w:color w:val="334155"/>
                <w:sz w:val="18"/>
                <w:szCs w:val="18"/>
              </w:rPr>
              <w:t xml:space="preserve">→  Preview toont gegenereerde inhoud volledig in de modal</w:t>
            </w:r>
          </w:p>
          <w:p>
            <w:pPr>
              <w:spacing w:before="30" w:after="80"/>
              <w:jc w:val="left"/>
            </w:pPr>
            <w:r>
              <w:rPr>
                <w:rFonts w:ascii="Calibri" w:cs="Calibri" w:eastAsia="Calibri" w:hAnsi="Calibri"/>
                <w:color w:val="334155"/>
                <w:sz w:val="18"/>
                <w:szCs w:val="18"/>
              </w:rPr>
              <w:t xml:space="preserve">→  Opnieuw genereren mogelijk (met zelfde of ander model)</w:t>
            </w:r>
          </w:p>
          <w:p>
            <w:pPr>
              <w:spacing w:before="30" w:after="80"/>
              <w:jc w:val="left"/>
            </w:pPr>
            <w:r>
              <w:rPr>
                <w:rFonts w:ascii="Calibri" w:cs="Calibri" w:eastAsia="Calibri" w:hAnsi="Calibri"/>
                <w:color w:val="334155"/>
                <w:sz w:val="18"/>
                <w:szCs w:val="18"/>
              </w:rPr>
              <w:t xml:space="preserve">→  Akkoord → document opgeslagen in Documenten tab</w:t>
            </w:r>
          </w:p>
          <w:p>
            <w:pPr>
              <w:spacing w:before="30" w:after="80"/>
              <w:jc w:val="left"/>
            </w:pPr>
            <w:r>
              <w:rPr>
                <w:rFonts w:ascii="Calibri" w:cs="Calibri" w:eastAsia="Calibri" w:hAnsi="Calibri"/>
                <w:color w:val="334155"/>
                <w:sz w:val="18"/>
                <w:szCs w:val="18"/>
              </w:rPr>
              <w:t xml:space="preserve">→  Akkoord Rode Draad → ook Tenderplanning, Projectplanning, Checklist en Team gevuld</w:t>
            </w:r>
          </w:p>
        </w:tc>
      </w:tr>
    </w:tbl>
    <w:p>
      <w:r>
        <w:t xml:space="preserve"/>
      </w:r>
    </w:p>
    <w:p>
      <w:pPr>
        <w:pStyle w:val="Heading1"/>
        <w:spacing w:before="320" w:after="160"/>
      </w:pPr>
      <w:r>
        <w:rPr>
          <w:rFonts w:ascii="Calibri" w:cs="Calibri" w:eastAsia="Calibri" w:hAnsi="Calibri"/>
          <w:b/>
          <w:bCs/>
          <w:color w:val="4338CA"/>
          <w:sz w:val="32"/>
          <w:szCs w:val="32"/>
        </w:rPr>
        <w:t xml:space="preserve">4. Stap 2: Document Selectie — Detail</w:t>
      </w:r>
    </w:p>
    <w:p>
      <w:pPr>
        <w:spacing w:before="0" w:after="120"/>
        <w:jc w:val="left"/>
      </w:pPr>
      <w:r>
        <w:rPr>
          <w:rFonts w:ascii="Calibri" w:cs="Calibri" w:eastAsia="Calibri" w:hAnsi="Calibri"/>
          <w:color w:val="0F172A"/>
          <w:sz w:val="20"/>
          <w:szCs w:val="20"/>
        </w:rPr>
        <w:t xml:space="preserve">De document selectie stap is bewust simpel gehouden. Het systeem doet het slimme werk vooraf; de gebruiker controleert en vult aan waar nodig.</w:t>
      </w:r>
    </w:p>
    <w:p>
      <w:pPr>
        <w:pStyle w:val="Heading2"/>
        <w:spacing w:before="280" w:after="120"/>
      </w:pPr>
      <w:r>
        <w:rPr>
          <w:rFonts w:ascii="Calibri" w:cs="Calibri" w:eastAsia="Calibri" w:hAnsi="Calibri"/>
          <w:b/>
          <w:bCs/>
          <w:color w:val="334155"/>
          <w:sz w:val="26"/>
          <w:szCs w:val="26"/>
        </w:rPr>
        <w:t xml:space="preserve">4.1 Brondocument categorieën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Uit Smart Import</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Documenten die eerder zijn geüpload en geanalyseerd via de Smart Import Wizard. Deze zijn standaard aangevinkt omdat ze de meest relevante context bevatten.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Overige uploads</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Documenten die later zijn toegevoegd aan de Documenten tab maar niet via Smart Import zijn verwerkt. Standaard uitgevinkt, maar beschikbaar.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Nieuw uploaden</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Gebruiker kan direct in de modal een nieuw document toevoegen (bijv. een Nota van Inlichtingen die later is binnengekomen). Dit document wordt opgeslagen in de Documenten tab.</w:t>
            </w:r>
          </w:p>
        </w:tc>
      </w:tr>
    </w:tbl>
    <w:p>
      <w:r>
        <w:t xml:space="preserve"/>
      </w:r>
    </w:p>
    <w:p>
      <w:pPr>
        <w:pStyle w:val="Heading2"/>
        <w:spacing w:before="280" w:after="120"/>
      </w:pPr>
      <w:r>
        <w:rPr>
          <w:rFonts w:ascii="Calibri" w:cs="Calibri" w:eastAsia="Calibri" w:hAnsi="Calibri"/>
          <w:b/>
          <w:bCs/>
          <w:color w:val="334155"/>
          <w:sz w:val="26"/>
          <w:szCs w:val="26"/>
        </w:rPr>
        <w:t xml:space="preserve">4.2 UI-gedrag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Minimumvereiste</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Minimaal 1 document moet geselecteerd zijn. De "Volgende stap" knop is disabled als niets geselecteerd.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Maximum</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Geen hard maximum. Bij veel documenten kan de API-call duurder worden — de kostenschatting in stap 3 houdt hiermee rekening.</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Bestandsformaten</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PDF, Word (.docx), Excel (.xlsx). Max 10MB per bestand.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Hergebruik</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Dezelfde selectie-component wordt hergebruikt voor alle document types. De geselecteerde documenten worden meegestuurd met de API-call.</w:t>
            </w:r>
          </w:p>
        </w:tc>
      </w:tr>
    </w:tbl>
    <w:p>
      <w:r>
        <w:t xml:space="preserve"/>
      </w:r>
    </w:p>
    <w:p>
      <w:pPr>
        <w:pStyle w:val="Heading1"/>
        <w:spacing w:before="320" w:after="160"/>
      </w:pPr>
      <w:r>
        <w:rPr>
          <w:rFonts w:ascii="Calibri" w:cs="Calibri" w:eastAsia="Calibri" w:hAnsi="Calibri"/>
          <w:b/>
          <w:bCs/>
          <w:color w:val="4338CA"/>
          <w:sz w:val="32"/>
          <w:szCs w:val="32"/>
        </w:rPr>
        <w:t xml:space="preserve">5. Stap 3: Model Selectie — Detail</w:t>
      </w:r>
    </w:p>
    <w:p>
      <w:pPr>
        <w:spacing w:before="0" w:after="120"/>
        <w:jc w:val="left"/>
      </w:pPr>
      <w:r>
        <w:rPr>
          <w:rFonts w:ascii="Calibri" w:cs="Calibri" w:eastAsia="Calibri" w:hAnsi="Calibri"/>
          <w:color w:val="0F172A"/>
          <w:sz w:val="20"/>
          <w:szCs w:val="20"/>
        </w:rPr>
        <w:t xml:space="preserve">De modelkeuze bepaalt de kwaliteit én de kosten. De UI presenteert dit transparant zodat de gebruiker een weloverwogen keuze kan maken.</w:t>
      </w:r>
    </w:p>
    <w:p>
      <w:pPr>
        <w:pStyle w:val="Heading2"/>
        <w:spacing w:before="280" w:after="120"/>
      </w:pPr>
      <w:r>
        <w:rPr>
          <w:rFonts w:ascii="Calibri" w:cs="Calibri" w:eastAsia="Calibri" w:hAnsi="Calibri"/>
          <w:b/>
          <w:bCs/>
          <w:color w:val="334155"/>
          <w:sz w:val="26"/>
          <w:szCs w:val="26"/>
        </w:rPr>
        <w:t xml:space="preserve">5.1 Beschikbare modellen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c>
          <w:tcPr>
            <w:tcW w:type="dxa" w:w="22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Model</w:t>
            </w:r>
          </w:p>
        </w:tc>
        <w:tc>
          <w:tcPr>
            <w:tcW w:type="dxa" w:w="46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Beschrijving &amp; gebruik</w:t>
            </w:r>
          </w:p>
        </w:tc>
        <w:tc>
          <w:tcPr>
            <w:tcW w:type="dxa" w:w="22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Kostenindicatie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22"/>
                <w:szCs w:val="22"/>
              </w:rPr>
              <w:t xml:space="preserve">Claude Haiku 4.5</w:t>
            </w:r>
          </w:p>
          <w:p>
            <w:pPr>
              <w:spacing w:before="40" w:after="80"/>
              <w:jc w:val="left"/>
            </w:pPr>
            <w:r>
              <w:rPr>
                <w:rFonts w:ascii="Calibri" w:cs="Calibri" w:eastAsia="Calibri" w:hAnsi="Calibri"/>
                <w:b/>
                <w:bCs/>
                <w:color w:val="16A34A"/>
                <w:sz w:val="16"/>
                <w:szCs w:val="16"/>
              </w:rPr>
              <w:t xml:space="preserve">Snel &amp; Economisch</w:t>
            </w:r>
          </w:p>
          <w:p>
            <w:pPr>
              <w:spacing w:before="0" w:after="80"/>
              <w:jc w:val="left"/>
            </w:pPr>
            <w:r>
              <w:rPr>
                <w:rFonts w:ascii="Calibri" w:cs="Calibri" w:eastAsia="Calibri" w:hAnsi="Calibri"/>
                <w:color w:val="0F172A"/>
                <w:sz w:val="20"/>
                <w:szCs w:val="20"/>
              </w:rPr>
              <w:t xml:space="preserve"/>
            </w:r>
          </w:p>
        </w:tc>
        <w:tc>
          <w:tcPr>
            <w:tcW w:type="dxa" w:w="4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Meest efficiënte model. Uitstekend voor gestructureerde extractie van data uit documenten: checklists, tijdlijnen, basisgegevens. Minder geschikt voor langere narratieve teksten.</w:t>
            </w:r>
          </w:p>
          <w:p>
            <w:pPr>
              <w:spacing w:before="40" w:after="80"/>
              <w:jc w:val="left"/>
            </w:pPr>
            <w:r>
              <w:rPr>
                <w:rFonts w:ascii="Calibri" w:cs="Calibri" w:eastAsia="Calibri" w:hAnsi="Calibri"/>
                <w:i/>
                <w:iCs/>
                <w:color w:val="475569"/>
                <w:sz w:val="17"/>
                <w:szCs w:val="17"/>
              </w:rPr>
              <w:t xml:space="preserve">Gebruik: Checklist Extractor, Tenderplanning extractie, Tender Samenvatting</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8"/>
                <w:szCs w:val="18"/>
              </w:rPr>
              <w:t xml:space="preserve">~€ 0,01 – 0,05 per document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c>
          <w:tcPr>
            <w:tcW w:type="dxa" w:w="2200"/>
            <w:tcBorders>
              <w:top w:val="single" w:color="6366F1" w:sz="1"/>
              <w:left w:val="single" w:color="6366F1" w:sz="1"/>
              <w:bottom w:val="single" w:color="6366F1" w:sz="1"/>
              <w:right w:val="single" w:color="6366F1" w:sz="1"/>
            </w:tcBorders>
            <w:shd w:fill="EEF2FF" w:val="clear"/>
            <w:tcMar>
              <w:top w:type="dxa" w:w="100"/>
              <w:left w:type="dxa" w:w="160"/>
              <w:bottom w:type="dxa" w:w="100"/>
              <w:right w:type="dxa" w:w="160"/>
            </w:tcMar>
          </w:tcPr>
          <w:p>
            <w:pPr>
              <w:spacing w:before="0" w:after="80"/>
              <w:jc w:val="left"/>
            </w:pPr>
            <w:r>
              <w:rPr>
                <w:rFonts w:ascii="Calibri" w:cs="Calibri" w:eastAsia="Calibri" w:hAnsi="Calibri"/>
                <w:b/>
                <w:bCs/>
                <w:color w:val="4338CA"/>
                <w:sz w:val="22"/>
                <w:szCs w:val="22"/>
              </w:rPr>
              <w:t xml:space="preserve">Claude Sonnet 4.6</w:t>
            </w:r>
          </w:p>
          <w:p>
            <w:pPr>
              <w:spacing w:before="40" w:after="80"/>
              <w:jc w:val="left"/>
            </w:pPr>
            <w:r>
              <w:rPr>
                <w:rFonts w:ascii="Calibri" w:cs="Calibri" w:eastAsia="Calibri" w:hAnsi="Calibri"/>
                <w:b/>
                <w:bCs/>
                <w:color w:val="6366F1"/>
                <w:sz w:val="16"/>
                <w:szCs w:val="16"/>
              </w:rPr>
              <w:t xml:space="preserve">Aanbevolen</w:t>
            </w:r>
          </w:p>
          <w:p>
            <w:pPr>
              <w:spacing w:before="20" w:after="80"/>
              <w:jc w:val="left"/>
            </w:pPr>
            <w:r>
              <w:rPr>
                <w:rFonts w:ascii="Calibri" w:cs="Calibri" w:eastAsia="Calibri" w:hAnsi="Calibri"/>
                <w:b/>
                <w:bCs/>
                <w:color w:val="6366F1"/>
                <w:sz w:val="15"/>
                <w:szCs w:val="15"/>
              </w:rPr>
              <w:t xml:space="preserve">★ Aanbevolen</w:t>
            </w:r>
          </w:p>
        </w:tc>
        <w:tc>
          <w:tcPr>
            <w:tcW w:type="dxa" w:w="4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Optimale balans tussen kwaliteit en kosten. Geschikt voor vrijwel alle document types. Genereert vloeiende, professionele teksten én kan goed structureren.</w:t>
            </w:r>
          </w:p>
          <w:p>
            <w:pPr>
              <w:spacing w:before="40" w:after="80"/>
              <w:jc w:val="left"/>
            </w:pPr>
            <w:r>
              <w:rPr>
                <w:rFonts w:ascii="Calibri" w:cs="Calibri" w:eastAsia="Calibri" w:hAnsi="Calibri"/>
                <w:i/>
                <w:iCs/>
                <w:color w:val="475569"/>
                <w:sz w:val="17"/>
                <w:szCs w:val="17"/>
              </w:rPr>
              <w:t xml:space="preserve">Gebruik: Rode Draad Sessie, Tenderofferte, Versie 1 Concept</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8"/>
                <w:szCs w:val="18"/>
              </w:rPr>
              <w:t xml:space="preserve">~€ 0,10 – 0,40 per document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22"/>
                <w:szCs w:val="22"/>
              </w:rPr>
              <w:t xml:space="preserve">Claude Opus 4.6</w:t>
            </w:r>
          </w:p>
          <w:p>
            <w:pPr>
              <w:spacing w:before="40" w:after="80"/>
              <w:jc w:val="left"/>
            </w:pPr>
            <w:r>
              <w:rPr>
                <w:rFonts w:ascii="Calibri" w:cs="Calibri" w:eastAsia="Calibri" w:hAnsi="Calibri"/>
                <w:b/>
                <w:bCs/>
                <w:color w:val="DC2626"/>
                <w:sz w:val="16"/>
                <w:szCs w:val="16"/>
              </w:rPr>
              <w:t xml:space="preserve">Maximale Kwaliteit</w:t>
            </w:r>
          </w:p>
          <w:p>
            <w:pPr>
              <w:spacing w:before="0" w:after="80"/>
              <w:jc w:val="left"/>
            </w:pPr>
            <w:r>
              <w:rPr>
                <w:rFonts w:ascii="Calibri" w:cs="Calibri" w:eastAsia="Calibri" w:hAnsi="Calibri"/>
                <w:color w:val="0F172A"/>
                <w:sz w:val="20"/>
                <w:szCs w:val="20"/>
              </w:rPr>
              <w:t xml:space="preserve"/>
            </w:r>
          </w:p>
        </w:tc>
        <w:tc>
          <w:tcPr>
            <w:tcW w:type="dxa" w:w="4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8"/>
                <w:szCs w:val="18"/>
              </w:rPr>
              <w:t xml:space="preserve">Zwaarste model. Beste resultaten voor complexe redenering, nuancering en lange documenten. Aanzienlijk hogere kosten — bewust inzetten voor documenten waar kwaliteit het meest telt.</w:t>
            </w:r>
          </w:p>
          <w:p>
            <w:pPr>
              <w:spacing w:before="40" w:after="80"/>
              <w:jc w:val="left"/>
            </w:pPr>
            <w:r>
              <w:rPr>
                <w:rFonts w:ascii="Calibri" w:cs="Calibri" w:eastAsia="Calibri" w:hAnsi="Calibri"/>
                <w:i/>
                <w:iCs/>
                <w:color w:val="475569"/>
                <w:sz w:val="17"/>
                <w:szCs w:val="17"/>
              </w:rPr>
              <w:t xml:space="preserve">Gebruik: Check op Win Succes, Go/No-Go analyse</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8"/>
                <w:szCs w:val="18"/>
              </w:rPr>
              <w:t xml:space="preserve">~€ 0,50 – 2,00 per document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9"/>
                <w:szCs w:val="19"/>
              </w:rPr>
              <w:t xml:space="preserve">Kostenschatting: de getoonde bedragen zijn indicatief en gebaseerd op gemiddeld tokengebruik per document type bij gebruik van 2-3 brondocumenten van elk ~50 pagina's. Meer of grotere brondocumenten verhogen de kosten proportioneel. Exacte kosten worden pas bekend na generatie.</w:t>
            </w:r>
          </w:p>
        </w:tc>
      </w:tr>
    </w:tbl>
    <w:p>
      <w:r>
        <w:t xml:space="preserve"/>
      </w:r>
    </w:p>
    <w:p>
      <w:pPr>
        <w:pStyle w:val="Heading2"/>
        <w:spacing w:before="280" w:after="120"/>
      </w:pPr>
      <w:r>
        <w:rPr>
          <w:rFonts w:ascii="Calibri" w:cs="Calibri" w:eastAsia="Calibri" w:hAnsi="Calibri"/>
          <w:b/>
          <w:bCs/>
          <w:color w:val="334155"/>
          <w:sz w:val="26"/>
          <w:szCs w:val="26"/>
        </w:rPr>
        <w:t xml:space="preserve">5.2 Aanbevolen model per document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2826"/>
      </w:tblGrid>
      <w:tr>
        <w:tc>
          <w:tcPr>
            <w:tcW w:type="dxa" w:w="26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Document type</w:t>
            </w:r>
          </w:p>
        </w:tc>
        <w:tc>
          <w:tcPr>
            <w:tcW w:type="dxa" w:w="16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Fase</w:t>
            </w:r>
          </w:p>
        </w:tc>
        <w:tc>
          <w:tcPr>
            <w:tcW w:type="dxa" w:w="20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Aanbevolen model</w:t>
            </w:r>
          </w:p>
        </w:tc>
        <w:tc>
          <w:tcPr>
            <w:tcW w:type="dxa" w:w="28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Downstream effect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2826"/>
      </w:tblGrid>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0F172A"/>
                <w:sz w:val="19"/>
                <w:szCs w:val="19"/>
              </w:rPr>
              <w:t xml:space="preserve">Tenderofferte onderzoek</w:t>
            </w:r>
          </w:p>
        </w:tc>
        <w:tc>
          <w:tcPr>
            <w:tcW w:type="dxa" w:w="160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pPr>
              <w:spacing w:before="0" w:after="80"/>
              <w:jc w:val="left"/>
            </w:pPr>
            <w:r>
              <w:rPr>
                <w:rFonts w:ascii="Calibri" w:cs="Calibri" w:eastAsia="Calibri" w:hAnsi="Calibri"/>
                <w:b/>
                <w:bCs/>
                <w:color w:val="F59E0B"/>
                <w:sz w:val="17"/>
                <w:szCs w:val="17"/>
              </w:rPr>
              <w:t xml:space="preserve">Acquisitie</w:t>
            </w:r>
          </w:p>
        </w:tc>
        <w:tc>
          <w:tcPr>
            <w:tcW w:type="dxa" w:w="20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color w:val="4338CA"/>
                <w:sz w:val="17"/>
                <w:szCs w:val="17"/>
              </w:rPr>
              <w:t xml:space="preserve">Sonnet 4.6</w:t>
            </w:r>
          </w:p>
        </w:tc>
        <w:tc>
          <w:tcPr>
            <w:tcW w:type="dxa" w:w="2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6"/>
                <w:szCs w:val="16"/>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2826"/>
      </w:tblGrid>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0F172A"/>
                <w:sz w:val="19"/>
                <w:szCs w:val="19"/>
              </w:rPr>
              <w:t xml:space="preserve">Go/No-Go analyse</w:t>
            </w:r>
          </w:p>
        </w:tc>
        <w:tc>
          <w:tcPr>
            <w:tcW w:type="dxa" w:w="160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pPr>
              <w:spacing w:before="0" w:after="80"/>
              <w:jc w:val="left"/>
            </w:pPr>
            <w:r>
              <w:rPr>
                <w:rFonts w:ascii="Calibri" w:cs="Calibri" w:eastAsia="Calibri" w:hAnsi="Calibri"/>
                <w:b/>
                <w:bCs/>
                <w:color w:val="F59E0B"/>
                <w:sz w:val="17"/>
                <w:szCs w:val="17"/>
              </w:rPr>
              <w:t xml:space="preserve">Acquisitie</w:t>
            </w:r>
          </w:p>
        </w:tc>
        <w:tc>
          <w:tcPr>
            <w:tcW w:type="dxa" w:w="20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color w:val="4338CA"/>
                <w:sz w:val="17"/>
                <w:szCs w:val="17"/>
              </w:rPr>
              <w:t xml:space="preserve">Opus 4.6</w:t>
            </w:r>
          </w:p>
        </w:tc>
        <w:tc>
          <w:tcPr>
            <w:tcW w:type="dxa" w:w="2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6"/>
                <w:szCs w:val="16"/>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2826"/>
      </w:tblGrid>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0F172A"/>
                <w:sz w:val="19"/>
                <w:szCs w:val="19"/>
              </w:rPr>
              <w:t xml:space="preserve">Tender Samenvatting</w:t>
            </w:r>
          </w:p>
        </w:tc>
        <w:tc>
          <w:tcPr>
            <w:tcW w:type="dxa" w:w="1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80"/>
              <w:jc w:val="left"/>
            </w:pPr>
            <w:r>
              <w:rPr>
                <w:rFonts w:ascii="Calibri" w:cs="Calibri" w:eastAsia="Calibri" w:hAnsi="Calibri"/>
                <w:b/>
                <w:bCs/>
                <w:color w:val="2563EB"/>
                <w:sz w:val="17"/>
                <w:szCs w:val="17"/>
              </w:rPr>
              <w:t xml:space="preserve">Beide</w:t>
            </w:r>
          </w:p>
        </w:tc>
        <w:tc>
          <w:tcPr>
            <w:tcW w:type="dxa" w:w="20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color w:val="4338CA"/>
                <w:sz w:val="17"/>
                <w:szCs w:val="17"/>
              </w:rPr>
              <w:t xml:space="preserve">Haiku 4.5</w:t>
            </w:r>
          </w:p>
        </w:tc>
        <w:tc>
          <w:tcPr>
            <w:tcW w:type="dxa" w:w="2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6"/>
                <w:szCs w:val="16"/>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2826"/>
      </w:tblGrid>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0F172A"/>
                <w:sz w:val="19"/>
                <w:szCs w:val="19"/>
              </w:rPr>
              <w:t xml:space="preserve">Checklist Extractor</w:t>
            </w:r>
          </w:p>
        </w:tc>
        <w:tc>
          <w:tcPr>
            <w:tcW w:type="dxa" w:w="1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80"/>
              <w:jc w:val="left"/>
            </w:pPr>
            <w:r>
              <w:rPr>
                <w:rFonts w:ascii="Calibri" w:cs="Calibri" w:eastAsia="Calibri" w:hAnsi="Calibri"/>
                <w:b/>
                <w:bCs/>
                <w:color w:val="2563EB"/>
                <w:sz w:val="17"/>
                <w:szCs w:val="17"/>
              </w:rPr>
              <w:t xml:space="preserve">Beide</w:t>
            </w:r>
          </w:p>
        </w:tc>
        <w:tc>
          <w:tcPr>
            <w:tcW w:type="dxa" w:w="20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color w:val="4338CA"/>
                <w:sz w:val="17"/>
                <w:szCs w:val="17"/>
              </w:rPr>
              <w:t xml:space="preserve">Haiku 4.5</w:t>
            </w:r>
          </w:p>
        </w:tc>
        <w:tc>
          <w:tcPr>
            <w:tcW w:type="dxa" w:w="2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6"/>
                <w:szCs w:val="16"/>
              </w:rPr>
              <w:t xml:space="preserve">Checklist tab</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2826"/>
      </w:tblGrid>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0F172A"/>
                <w:sz w:val="19"/>
                <w:szCs w:val="19"/>
              </w:rPr>
              <w:t xml:space="preserve">Rode Draad Sessie</w:t>
            </w:r>
          </w:p>
        </w:tc>
        <w:tc>
          <w:tcPr>
            <w:tcW w:type="dxa" w:w="160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80"/>
              <w:jc w:val="left"/>
            </w:pPr>
            <w:r>
              <w:rPr>
                <w:rFonts w:ascii="Calibri" w:cs="Calibri" w:eastAsia="Calibri" w:hAnsi="Calibri"/>
                <w:b/>
                <w:bCs/>
                <w:color w:val="16A34A"/>
                <w:sz w:val="17"/>
                <w:szCs w:val="17"/>
              </w:rPr>
              <w:t xml:space="preserve">Projectstart</w:t>
            </w:r>
          </w:p>
        </w:tc>
        <w:tc>
          <w:tcPr>
            <w:tcW w:type="dxa" w:w="20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color w:val="4338CA"/>
                <w:sz w:val="17"/>
                <w:szCs w:val="17"/>
              </w:rPr>
              <w:t xml:space="preserve">Sonnet 4.6</w:t>
            </w:r>
          </w:p>
        </w:tc>
        <w:tc>
          <w:tcPr>
            <w:tcW w:type="dxa" w:w="2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6"/>
                <w:szCs w:val="16"/>
              </w:rPr>
              <w:t xml:space="preserve">Tenderplanning + Projectplanning + Checklist + Team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2826"/>
      </w:tblGrid>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0F172A"/>
                <w:sz w:val="19"/>
                <w:szCs w:val="19"/>
              </w:rPr>
              <w:t xml:space="preserve">Versie 1 Concept</w:t>
            </w:r>
          </w:p>
        </w:tc>
        <w:tc>
          <w:tcPr>
            <w:tcW w:type="dxa" w:w="160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80"/>
              <w:jc w:val="left"/>
            </w:pPr>
            <w:r>
              <w:rPr>
                <w:rFonts w:ascii="Calibri" w:cs="Calibri" w:eastAsia="Calibri" w:hAnsi="Calibri"/>
                <w:b/>
                <w:bCs/>
                <w:color w:val="16A34A"/>
                <w:sz w:val="17"/>
                <w:szCs w:val="17"/>
              </w:rPr>
              <w:t xml:space="preserve">Projectstart</w:t>
            </w:r>
          </w:p>
        </w:tc>
        <w:tc>
          <w:tcPr>
            <w:tcW w:type="dxa" w:w="20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color w:val="4338CA"/>
                <w:sz w:val="17"/>
                <w:szCs w:val="17"/>
              </w:rPr>
              <w:t xml:space="preserve">Sonnet 4.6</w:t>
            </w:r>
          </w:p>
        </w:tc>
        <w:tc>
          <w:tcPr>
            <w:tcW w:type="dxa" w:w="2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6"/>
                <w:szCs w:val="16"/>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2826"/>
      </w:tblGrid>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0F172A"/>
                <w:sz w:val="19"/>
                <w:szCs w:val="19"/>
              </w:rPr>
              <w:t xml:space="preserve">Check op Win Succes</w:t>
            </w:r>
          </w:p>
        </w:tc>
        <w:tc>
          <w:tcPr>
            <w:tcW w:type="dxa" w:w="160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80"/>
              <w:jc w:val="left"/>
            </w:pPr>
            <w:r>
              <w:rPr>
                <w:rFonts w:ascii="Calibri" w:cs="Calibri" w:eastAsia="Calibri" w:hAnsi="Calibri"/>
                <w:b/>
                <w:bCs/>
                <w:color w:val="16A34A"/>
                <w:sz w:val="17"/>
                <w:szCs w:val="17"/>
              </w:rPr>
              <w:t xml:space="preserve">Projectstart</w:t>
            </w:r>
          </w:p>
        </w:tc>
        <w:tc>
          <w:tcPr>
            <w:tcW w:type="dxa" w:w="20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color w:val="4338CA"/>
                <w:sz w:val="17"/>
                <w:szCs w:val="17"/>
              </w:rPr>
              <w:t xml:space="preserve">Opus 4.6</w:t>
            </w:r>
          </w:p>
        </w:tc>
        <w:tc>
          <w:tcPr>
            <w:tcW w:type="dxa" w:w="2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6"/>
                <w:szCs w:val="16"/>
              </w:rPr>
              <w:t xml:space="preserve">—</w:t>
            </w:r>
          </w:p>
        </w:tc>
      </w:tr>
    </w:tbl>
    <w:p>
      <w:r>
        <w:t xml:space="preserve"/>
      </w:r>
    </w:p>
    <w:p>
      <w:pPr>
        <w:pStyle w:val="Heading1"/>
        <w:spacing w:before="320" w:after="160"/>
      </w:pPr>
      <w:r>
        <w:rPr>
          <w:rFonts w:ascii="Calibri" w:cs="Calibri" w:eastAsia="Calibri" w:hAnsi="Calibri"/>
          <w:b/>
          <w:bCs/>
          <w:color w:val="4338CA"/>
          <w:sz w:val="32"/>
          <w:szCs w:val="32"/>
        </w:rPr>
        <w:t xml:space="preserve">6. Rode Draad Sessie — Het Sleuteldocument</w:t>
      </w:r>
    </w:p>
    <w:p>
      <w:pPr>
        <w:spacing w:before="0" w:after="120"/>
        <w:jc w:val="left"/>
      </w:pPr>
      <w:r>
        <w:rPr>
          <w:rFonts w:ascii="Calibri" w:cs="Calibri" w:eastAsia="Calibri" w:hAnsi="Calibri"/>
          <w:color w:val="0F172A"/>
          <w:sz w:val="20"/>
          <w:szCs w:val="20"/>
        </w:rPr>
        <w:t xml:space="preserve">Het Rode Draad Sessie document heeft een speciale rol: het is het enige document type dat na akkoord automatisch andere tabs vult. Het is het bewuste keerpunt van verkenning naar uitvoering.</w:t>
      </w:r>
    </w:p>
    <w:p>
      <w:pPr>
        <w:pStyle w:val="Heading2"/>
        <w:spacing w:before="280" w:after="120"/>
      </w:pPr>
      <w:r>
        <w:rPr>
          <w:rFonts w:ascii="Calibri" w:cs="Calibri" w:eastAsia="Calibri" w:hAnsi="Calibri"/>
          <w:b/>
          <w:bCs/>
          <w:color w:val="334155"/>
          <w:sz w:val="26"/>
          <w:szCs w:val="26"/>
        </w:rPr>
        <w:t xml:space="preserve">6.1 Wat het document bevat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Tenderplanning</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Alle externe deadlines van de aanbestedende dienst: publicatiedatum, deadline vragen, nota van inlichtingen, deadline indiening, gunningsdata, startdatum opdracht.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Projectplanning</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Interne planning van het team: taken, verantwoordelijken, deadlines, volgorde. Basis voor de backplanning in de Projectplanning tab.</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Checklist</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Lijst van alle verplicht in te dienen documenten met categorie (verplicht/optioneel) en verantwoordelijke rol.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Team</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Namen en rollen van betrokken teamleden (indien aanwezig in het document).</w:t>
            </w:r>
          </w:p>
        </w:tc>
      </w:tr>
    </w:tbl>
    <w:p>
      <w:r>
        <w:t xml:space="preserve"/>
      </w:r>
    </w:p>
    <w:p>
      <w:pPr>
        <w:pStyle w:val="Heading2"/>
        <w:spacing w:before="280" w:after="120"/>
      </w:pPr>
      <w:r>
        <w:rPr>
          <w:rFonts w:ascii="Calibri" w:cs="Calibri" w:eastAsia="Calibri" w:hAnsi="Calibri"/>
          <w:b/>
          <w:bCs/>
          <w:color w:val="334155"/>
          <w:sz w:val="26"/>
          <w:szCs w:val="26"/>
        </w:rPr>
        <w:t xml:space="preserve">6.2 Flow na akkoord</w:t>
      </w:r>
    </w:p>
    <w:p>
      <w:pPr>
        <w:spacing w:before="0" w:after="100"/>
        <w:jc w:val="left"/>
      </w:pPr>
      <w:r>
        <w:rPr>
          <w:rFonts w:ascii="Calibri" w:cs="Calibri" w:eastAsia="Calibri" w:hAnsi="Calibri"/>
          <w:color w:val="0F172A"/>
          <w:sz w:val="20"/>
          <w:szCs w:val="20"/>
        </w:rPr>
        <w:t xml:space="preserve">Na het goedkeuren van het Rode Draad Sessie document wordt het volgende uitgevoerd: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center"/>
            </w:pPr>
            <w:r>
              <w:rPr>
                <w:rFonts w:ascii="Calibri" w:cs="Calibri" w:eastAsia="Calibri" w:hAnsi="Calibri"/>
                <w:b/>
                <w:bCs/>
                <w:color w:val="6366F1"/>
                <w:sz w:val="18"/>
                <w:szCs w:val="18"/>
              </w:rPr>
              <w:t xml:space="preserve">1</w:t>
            </w:r>
          </w:p>
        </w:tc>
        <w:tc>
          <w:tcPr>
            <w:tcW w:type="dxa" w:w="85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Document wordt opgeslagen in de Documenten tab met label "Rode Draad Sessie".</w:t>
            </w:r>
          </w:p>
        </w:tc>
      </w:tr>
      <w:tr>
        <w:tc>
          <w:tcPr>
            <w:tcW w:type="dxa" w:w="5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center"/>
            </w:pPr>
            <w:r>
              <w:rPr>
                <w:rFonts w:ascii="Calibri" w:cs="Calibri" w:eastAsia="Calibri" w:hAnsi="Calibri"/>
                <w:b/>
                <w:bCs/>
                <w:color w:val="6366F1"/>
                <w:sz w:val="18"/>
                <w:szCs w:val="18"/>
              </w:rPr>
              <w:t xml:space="preserve">2</w:t>
            </w:r>
          </w:p>
        </w:tc>
        <w:tc>
          <w:tcPr>
            <w:tcW w:type="dxa" w:w="85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AI parseert het gegenereerde document en extraheert gestructureerde data per sectie.</w:t>
            </w:r>
          </w:p>
        </w:tc>
      </w:tr>
      <w:tr>
        <w:tc>
          <w:tcPr>
            <w:tcW w:type="dxa" w:w="5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center"/>
            </w:pPr>
            <w:r>
              <w:rPr>
                <w:rFonts w:ascii="Calibri" w:cs="Calibri" w:eastAsia="Calibri" w:hAnsi="Calibri"/>
                <w:b/>
                <w:bCs/>
                <w:color w:val="6366F1"/>
                <w:sz w:val="18"/>
                <w:szCs w:val="18"/>
              </w:rPr>
              <w:t xml:space="preserve">3</w:t>
            </w:r>
          </w:p>
        </w:tc>
        <w:tc>
          <w:tcPr>
            <w:tcW w:type="dxa" w:w="85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Tenderplanning tab: datums en mijlpalen worden bijgewerkt (overschrijft Smart Import data waar afwijkend).</w:t>
            </w:r>
          </w:p>
        </w:tc>
      </w:tr>
      <w:tr>
        <w:tc>
          <w:tcPr>
            <w:tcW w:type="dxa" w:w="5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center"/>
            </w:pPr>
            <w:r>
              <w:rPr>
                <w:rFonts w:ascii="Calibri" w:cs="Calibri" w:eastAsia="Calibri" w:hAnsi="Calibri"/>
                <w:b/>
                <w:bCs/>
                <w:color w:val="6366F1"/>
                <w:sz w:val="18"/>
                <w:szCs w:val="18"/>
              </w:rPr>
              <w:t xml:space="preserve">4</w:t>
            </w:r>
          </w:p>
        </w:tc>
        <w:tc>
          <w:tcPr>
            <w:tcW w:type="dxa" w:w="85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Projectplanning tab: taken worden aangemaakt via de bulk-planning API (bestaande taken worden overschreven na bevestiging).</w:t>
            </w:r>
          </w:p>
        </w:tc>
      </w:tr>
      <w:tr>
        <w:tc>
          <w:tcPr>
            <w:tcW w:type="dxa" w:w="5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center"/>
            </w:pPr>
            <w:r>
              <w:rPr>
                <w:rFonts w:ascii="Calibri" w:cs="Calibri" w:eastAsia="Calibri" w:hAnsi="Calibri"/>
                <w:b/>
                <w:bCs/>
                <w:color w:val="6366F1"/>
                <w:sz w:val="18"/>
                <w:szCs w:val="18"/>
              </w:rPr>
              <w:t xml:space="preserve">5</w:t>
            </w:r>
          </w:p>
        </w:tc>
        <w:tc>
          <w:tcPr>
            <w:tcW w:type="dxa" w:w="85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Checklist tab: inleveritems worden aangemaakt (bestaande items worden overschreven na bevestiging).</w:t>
            </w:r>
          </w:p>
        </w:tc>
      </w:tr>
      <w:tr>
        <w:tc>
          <w:tcPr>
            <w:tcW w:type="dxa" w:w="5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center"/>
            </w:pPr>
            <w:r>
              <w:rPr>
                <w:rFonts w:ascii="Calibri" w:cs="Calibri" w:eastAsia="Calibri" w:hAnsi="Calibri"/>
                <w:b/>
                <w:bCs/>
                <w:color w:val="6366F1"/>
                <w:sz w:val="18"/>
                <w:szCs w:val="18"/>
              </w:rPr>
              <w:t xml:space="preserve">6</w:t>
            </w:r>
          </w:p>
        </w:tc>
        <w:tc>
          <w:tcPr>
            <w:tcW w:type="dxa" w:w="85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Team tab: als het document teamleden noemt, worden die als suggestie getoond (geen automatische overschrijving — gebruiker bevestigt).</w:t>
            </w:r>
          </w:p>
        </w:tc>
      </w:tr>
      <w:tr>
        <w:tc>
          <w:tcPr>
            <w:tcW w:type="dxa" w:w="5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center"/>
            </w:pPr>
            <w:r>
              <w:rPr>
                <w:rFonts w:ascii="Calibri" w:cs="Calibri" w:eastAsia="Calibri" w:hAnsi="Calibri"/>
                <w:b/>
                <w:bCs/>
                <w:color w:val="6366F1"/>
                <w:sz w:val="18"/>
                <w:szCs w:val="18"/>
              </w:rPr>
              <w:t xml:space="preserve">7</w:t>
            </w:r>
          </w:p>
        </w:tc>
        <w:tc>
          <w:tcPr>
            <w:tcW w:type="dxa" w:w="85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Statusbadges in de TCC header worden bijgewerkt.</w:t>
            </w:r>
          </w:p>
        </w:tc>
      </w:tr>
    </w:tbl>
    <w:p>
      <w:r>
        <w:t xml:space="preserve"/>
      </w:r>
    </w:p>
    <w:p>
      <w:pPr>
        <w:pStyle w:val="Heading2"/>
        <w:spacing w:before="280" w:after="120"/>
      </w:pPr>
      <w:r>
        <w:rPr>
          <w:rFonts w:ascii="Calibri" w:cs="Calibri" w:eastAsia="Calibri" w:hAnsi="Calibri"/>
          <w:b/>
          <w:bCs/>
          <w:color w:val="334155"/>
          <w:sz w:val="26"/>
          <w:szCs w:val="26"/>
        </w:rPr>
        <w:t xml:space="preserve">6.3 Waarschuwing bij bestaande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1"/>
              <w:left w:val="single" w:color="F59E0B" w:sz="1"/>
              <w:bottom w:val="single" w:color="F59E0B" w:sz="1"/>
              <w:right w:val="single" w:color="F59E0B" w:sz="1"/>
            </w:tcBorders>
            <w:shd w:fill="FFFBEB" w:val="clear"/>
            <w:tcMar>
              <w:top w:type="dxa" w:w="100"/>
              <w:left w:type="dxa" w:w="160"/>
              <w:bottom w:type="dxa" w:w="100"/>
              <w:right w:type="dxa" w:w="160"/>
            </w:tcMar>
          </w:tcPr>
          <w:p>
            <w:pPr>
              <w:spacing w:before="0" w:after="80"/>
              <w:jc w:val="left"/>
            </w:pPr>
            <w:r>
              <w:rPr>
                <w:rFonts w:ascii="Calibri" w:cs="Calibri" w:eastAsia="Calibri" w:hAnsi="Calibri"/>
                <w:color w:val="334155"/>
                <w:sz w:val="19"/>
                <w:szCs w:val="19"/>
              </w:rPr>
              <w:t xml:space="preserve">Als Tenderplanning, Projectplanning of Checklist al data bevatten (bijv. via eerdere Smart Import of handmatige backplanning), wordt de gebruiker gewaarschuwd vóór overschrijving. De gebruiker kan per tab kiezen of die overschreven wordt. Dit voorkomt onbedoeld dataverlies.</w:t>
            </w:r>
          </w:p>
        </w:tc>
      </w:tr>
    </w:tbl>
    <w:p>
      <w:r>
        <w:t xml:space="preserve"/>
      </w:r>
    </w:p>
    <w:p>
      <w:pPr>
        <w:pStyle w:val="Heading1"/>
        <w:spacing w:before="320" w:after="160"/>
      </w:pPr>
      <w:r>
        <w:rPr>
          <w:rFonts w:ascii="Calibri" w:cs="Calibri" w:eastAsia="Calibri" w:hAnsi="Calibri"/>
          <w:b/>
          <w:bCs/>
          <w:color w:val="4338CA"/>
          <w:sz w:val="32"/>
          <w:szCs w:val="32"/>
        </w:rPr>
        <w:t xml:space="preserve">7. UI Componenten</w:t>
      </w:r>
    </w:p>
    <w:p>
      <w:pPr>
        <w:spacing w:before="0" w:after="120"/>
        <w:jc w:val="left"/>
      </w:pPr>
      <w:r>
        <w:rPr>
          <w:rFonts w:ascii="Calibri" w:cs="Calibri" w:eastAsia="Calibri" w:hAnsi="Calibri"/>
          <w:color w:val="0F172A"/>
          <w:sz w:val="20"/>
          <w:szCs w:val="20"/>
        </w:rPr>
        <w:t xml:space="preserve">De volgende nieuwe UI-componenten zijn nodig voor deze feature. Alle componenten zijn herbruikbaar voor alle document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AiGenerateModal</w:t>
            </w:r>
          </w:p>
        </w:tc>
        <w:tc>
          <w:tcPr>
            <w:tcW w:type="dxa" w:w="6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Hoofd-modal die de 4-stappen flow bevat. Heeft interne state voor de actieve stap. Toont stap-indicatoren bovenaan.</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DocSelectStep</w:t>
            </w:r>
          </w:p>
        </w:tc>
        <w:tc>
          <w:tcPr>
            <w:tcW w:type="dxa" w:w="6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Stap 2: lijst van beschikbare brondocumenten met checkboxes, drag-and-drop upload zone, en teller van geselecteerde documenten.</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ModelSelectStep</w:t>
            </w:r>
          </w:p>
        </w:tc>
        <w:tc>
          <w:tcPr>
            <w:tcW w:type="dxa" w:w="6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Stap 3: kaarten per model met naam, badge, beschrijving, gebruik en kostenindicatie. Pre-selectie op basis van document type.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GeneratePreviewStep</w:t>
            </w:r>
          </w:p>
        </w:tc>
        <w:tc>
          <w:tcPr>
            <w:tcW w:type="dxa" w:w="6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Stap 4: gegenereerde inhoud tonen in scrollbaar paneel. Knoppen: "Opnieuw genereren", "Akkoord".</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DownstreamConfirmModal</w:t>
            </w:r>
          </w:p>
        </w:tc>
        <w:tc>
          <w:tcPr>
            <w:tcW w:type="dxa" w:w="6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Secundaire modal die verschijnt na akkoord van Rode Draad Sessie. Toont per tab wat er overschreven wordt en vraagt bevestiging.</w:t>
            </w:r>
          </w:p>
        </w:tc>
      </w:tr>
    </w:tbl>
    <w:p>
      <w:r>
        <w:t xml:space="preserve"/>
      </w:r>
    </w:p>
    <w:p>
      <w:pPr>
        <w:pStyle w:val="Heading1"/>
        <w:spacing w:before="320" w:after="160"/>
      </w:pPr>
      <w:r>
        <w:rPr>
          <w:rFonts w:ascii="Calibri" w:cs="Calibri" w:eastAsia="Calibri" w:hAnsi="Calibri"/>
          <w:b/>
          <w:bCs/>
          <w:color w:val="4338CA"/>
          <w:sz w:val="32"/>
          <w:szCs w:val="32"/>
        </w:rPr>
        <w:t xml:space="preserve">8. Workflow Tab — Vereenvoudiging</w:t>
      </w:r>
    </w:p>
    <w:p>
      <w:pPr>
        <w:spacing w:before="0" w:after="120"/>
        <w:jc w:val="left"/>
      </w:pPr>
      <w:r>
        <w:rPr>
          <w:rFonts w:ascii="Calibri" w:cs="Calibri" w:eastAsia="Calibri" w:hAnsi="Calibri"/>
          <w:color w:val="0F172A"/>
          <w:sz w:val="20"/>
          <w:szCs w:val="20"/>
        </w:rPr>
        <w:t xml:space="preserve">De huidige Workflow tab bevat dezelfde document types als AI Generatie, wat verwarrend is. Na implementatie van deze feature wordt de Workflow tab omgebouwd tot een statusoverzicht.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Oud (huidige situatie)</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Workflow toont stappen 0-6 elk met "Copy Prompt", "Open Claude.ai" en "Resultaat Opslaan" knoppen. Overlapt volledig met AI Generatie.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Nieuw (na implementatie)</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Workflow toont een tijdlijn van alle document types met hun status (Niet gestart / Gegenereerd / Goedgekeurd). Klikken opent direct het document in AI Generatie. Geen dubbele actieknoppen.</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Verwijderd</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"Copy Prompt" en "Open Claude.ai" knoppen verdwijnen uit Workflow. Deze workflow (manueel via Claude.ai) is vervangen door de ingebouwde generatie.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Behouden</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De voortgangsbalk bovenin blijft — geeft snel inzicht in welke % van de documenten afgerond is.</w:t>
            </w:r>
          </w:p>
        </w:tc>
      </w:tr>
    </w:tbl>
    <w:p>
      <w:r>
        <w:t xml:space="preserve"/>
      </w:r>
    </w:p>
    <w:p>
      <w:pPr>
        <w:pStyle w:val="Heading1"/>
        <w:spacing w:before="320" w:after="160"/>
      </w:pPr>
      <w:r>
        <w:rPr>
          <w:rFonts w:ascii="Calibri" w:cs="Calibri" w:eastAsia="Calibri" w:hAnsi="Calibri"/>
          <w:b/>
          <w:bCs/>
          <w:color w:val="4338CA"/>
          <w:sz w:val="32"/>
          <w:szCs w:val="32"/>
        </w:rPr>
        <w:t xml:space="preserve">9. Open Punten &amp; Beslissingen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426"/>
      </w:tblGrid>
      <w:tr>
        <w:tc>
          <w:tcPr>
            <w:tcW w:type="dxa" w:w="4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w:t>
            </w:r>
          </w:p>
        </w:tc>
        <w:tc>
          <w:tcPr>
            <w:tcW w:type="dxa" w:w="42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Open punt</w:t>
            </w:r>
          </w:p>
        </w:tc>
        <w:tc>
          <w:tcPr>
            <w:tcW w:type="dxa" w:w="44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Opties / Toelichting</w:t>
            </w:r>
          </w:p>
        </w:tc>
      </w:tr>
      <w:tr>
        <w:tc>
          <w:tcPr>
            <w:tcW w:type="dxa" w:w="4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b/>
                <w:bCs/>
                <w:color w:val="6366F1"/>
                <w:sz w:val="18"/>
                <w:szCs w:val="18"/>
              </w:rPr>
              <w:t xml:space="preserve">1</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8"/>
                <w:szCs w:val="18"/>
              </w:rPr>
              <w:t xml:space="preserve">Structuur van het Rode Draad Sessie document</w:t>
            </w:r>
          </w:p>
        </w:tc>
        <w:tc>
          <w:tcPr>
            <w:tcW w:type="dxa" w:w="4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8"/>
                <w:szCs w:val="18"/>
              </w:rPr>
              <w:t xml:space="preserve">De AI-extractie na akkoord vereist een bekende documentstructuur. Is er een vaste template voor dit document bij Tendertaal? Zo ja, dan kan de extractie preciezer.</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6366F1"/>
                <w:sz w:val="18"/>
                <w:szCs w:val="18"/>
              </w:rPr>
              <w:t xml:space="preserve">2</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8"/>
                <w:szCs w:val="18"/>
              </w:rPr>
              <w:t xml:space="preserve">Kosten transparantie</w:t>
            </w:r>
          </w:p>
        </w:tc>
        <w:tc>
          <w:tcPr>
            <w:tcW w:type="dxa" w:w="4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8"/>
                <w:szCs w:val="18"/>
              </w:rPr>
              <w:t xml:space="preserve">Worden de geschatte kosten per generatie bijgehouden in de database? Dit kan nuttig zijn voor facturatie of budgetbeheer per bureau.</w:t>
            </w:r>
          </w:p>
        </w:tc>
      </w:tr>
      <w:tr>
        <w:tc>
          <w:tcPr>
            <w:tcW w:type="dxa" w:w="4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b/>
                <w:bCs/>
                <w:color w:val="6366F1"/>
                <w:sz w:val="18"/>
                <w:szCs w:val="18"/>
              </w:rPr>
              <w:t xml:space="preserve">3</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8"/>
                <w:szCs w:val="18"/>
              </w:rPr>
              <w:t xml:space="preserve">Team-extractie uit Rode Draad</w:t>
            </w:r>
          </w:p>
        </w:tc>
        <w:tc>
          <w:tcPr>
            <w:tcW w:type="dxa" w:w="4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8"/>
                <w:szCs w:val="18"/>
              </w:rPr>
              <w:t xml:space="preserve">Worden teamleden automatisch aangemaakt als ze nog niet bestaan in TenderZen, of alleen voorgesteld als ze al bekend zijn?</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6366F1"/>
                <w:sz w:val="18"/>
                <w:szCs w:val="18"/>
              </w:rPr>
              <w:t xml:space="preserve">4</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8"/>
                <w:szCs w:val="18"/>
              </w:rPr>
              <w:t xml:space="preserve">Regenereren na akkoord</w:t>
            </w:r>
          </w:p>
        </w:tc>
        <w:tc>
          <w:tcPr>
            <w:tcW w:type="dxa" w:w="4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8"/>
                <w:szCs w:val="18"/>
              </w:rPr>
              <w:t xml:space="preserve">Mag een al goedgekeurd document opnieuw gegenereerd worden? En worden de downstream tabs dan ook opnieuw overschreven?</w:t>
            </w:r>
          </w:p>
        </w:tc>
      </w:tr>
      <w:tr>
        <w:tc>
          <w:tcPr>
            <w:tcW w:type="dxa" w:w="400"/>
            <w:tcBorders>
              <w:top w:val="single" w:color="E2E8F0" w:sz="1"/>
              <w:left w:val="single" w:color="E2E8F0" w:sz="1"/>
              <w:bottom w:val="single" w:color="E2E8F0" w:sz="1"/>
              <w:right w:val="single" w:color="E2E8F0" w:sz="1"/>
            </w:tcBorders>
            <w:shd w:fill="EEF2FF" w:val="clear"/>
            <w:tcMar>
              <w:top w:type="dxa" w:w="100"/>
              <w:left w:type="dxa" w:w="160"/>
              <w:bottom w:type="dxa" w:w="100"/>
              <w:right w:type="dxa" w:w="160"/>
            </w:tcMar>
          </w:tcPr>
          <w:p>
            <w:pPr>
              <w:spacing w:before="0" w:after="80"/>
              <w:jc w:val="left"/>
            </w:pPr>
            <w:r>
              <w:rPr>
                <w:rFonts w:ascii="Calibri" w:cs="Calibri" w:eastAsia="Calibri" w:hAnsi="Calibri"/>
                <w:b/>
                <w:bCs/>
                <w:color w:val="6366F1"/>
                <w:sz w:val="18"/>
                <w:szCs w:val="18"/>
              </w:rPr>
              <w:t xml:space="preserve">5</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8"/>
                <w:szCs w:val="18"/>
              </w:rPr>
              <w:t xml:space="preserve">Versiehistorie</w:t>
            </w:r>
          </w:p>
        </w:tc>
        <w:tc>
          <w:tcPr>
            <w:tcW w:type="dxa" w:w="4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475569"/>
                <w:sz w:val="18"/>
                <w:szCs w:val="18"/>
              </w:rPr>
              <w:t xml:space="preserve">Wordt elke versie van een gegenereerd document bewaard, of alleen de laatste geaccepteerde versie?</w:t>
            </w:r>
          </w:p>
        </w:tc>
      </w:tr>
    </w:tbl>
    <w:p>
      <w:r>
        <w:t xml:space="preserve"/>
      </w:r>
    </w:p>
    <w:p>
      <w:r>
        <w:t xml:space="preserve"/>
      </w:r>
    </w:p>
    <w:p>
      <w:pPr>
        <w:pBdr>
          <w:bottom w:val="single" w:color="E2E8F0" w:sz="4" w:space="1"/>
        </w:pBdr>
        <w:spacing w:before="80" w:after="80"/>
      </w:pPr>
      <w:r>
        <w:t xml:space="preserve"/>
      </w:r>
    </w:p>
    <w:p>
      <w:pPr>
        <w:spacing w:before="120" w:after="80"/>
        <w:jc w:val="center"/>
      </w:pPr>
      <w:r>
        <w:rPr>
          <w:rFonts w:ascii="Calibri" w:cs="Calibri" w:eastAsia="Calibri" w:hAnsi="Calibri"/>
          <w:color w:val="475569"/>
          <w:sz w:val="16"/>
          <w:szCs w:val="16"/>
        </w:rPr>
        <w:t xml:space="preserve">Einde document — TenderZen AI Generatie Module FD v1.0</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120" w:after="0"/>
    </w:pPr>
    <w:r>
      <w:rPr>
        <w:rFonts w:ascii="Calibri" w:cs="Calibri" w:eastAsia="Calibri" w:hAnsi="Calibri"/>
        <w:color w:val="475569"/>
        <w:sz w:val="16"/>
        <w:szCs w:val="16"/>
      </w:rPr>
      <w:t xml:space="preserve">Vertrouwelijk — intern gebruik</w:t>
    </w:r>
    <w:r>
      <w:rPr>
        <w:rFonts w:ascii="Calibri" w:cs="Calibri" w:eastAsia="Calibri" w:hAnsi="Calibri"/>
        <w:color w:val="475569"/>
        <w:sz w:val="16"/>
        <w:szCs w:val="16"/>
      </w:rPr>
      <w:t xml:space="preserve">	Pagina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spacing w:before="0" w:after="120"/>
    </w:pPr>
    <w:r>
      <w:rPr>
        <w:rFonts w:ascii="Calibri" w:cs="Calibri" w:eastAsia="Calibri" w:hAnsi="Calibri"/>
        <w:color w:val="475569"/>
        <w:sz w:val="16"/>
        <w:szCs w:val="16"/>
      </w:rPr>
      <w:t xml:space="preserve">TenderZen — AI Generatie Module | Functioneel Ontwerp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Calibri" w:cs="Calibri" w:eastAsia="Calibri" w:hAnsi="Calibri"/>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Calibri" w:cs="Calibri" w:eastAsia="Calibri" w:hAnsi="Calibri"/>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4338CA"/>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334155"/>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2026-02-26T15:56:06.697Z</dcterms:created>
  <dcterms:modified xsi:type="dcterms:W3CDTF">2026-02-26T15:56:06.698Z</dcterms:modified>
</cp:coreProperties>
</file>

<file path=docProps/custom.xml><?xml version="1.0" encoding="utf-8"?>
<Properties xmlns="http://schemas.openxmlformats.org/officeDocument/2006/custom-properties" xmlns:vt="http://schemas.openxmlformats.org/officeDocument/2006/docPropsVTypes"/>
</file>