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Build60 — submission notes</w:t>
      </w:r>
    </w:p>
    <w:p>
      <w:pPr>
        <w:spacing w:after="240"/>
      </w:pPr>
      <w:r>
        <w:rPr>
          <w:color w:val="6B6256"/>
        </w:rPr>
        <w:t xml:space="preserve">NxtWave Growth Intern challenge · Round 1 · Tendool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GROWTH PLAN</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t xml:space="preserve">Build60-Growth-Plan.pptx (5 slides, attached)</w:t>
            </w:r>
          </w:p>
        </w:tc>
      </w:tr>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WORKING ASSET</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rPr>
                <w:b/>
                <w:bCs/>
                <w:highlight w:val="yellow"/>
              </w:rPr>
              <w:t xml:space="preserve">[Add the live link after deployment]</w:t>
            </w:r>
          </w:p>
          <w:p>
            <w:pPr>
              <w:keepNext/>
            </w:pPr>
            <w:r>
              <w:rPr>
                <w:color w:val="6B6256"/>
                <w:sz w:val="20"/>
                <w:szCs w:val="20"/>
              </w:rPr>
              <w:t xml:space="preserve">A growth engine for the workshop: landing page and 30-second sign-up, referral links, college leaderboard with rewards, ambassador kit, admin dashboard with conversion per channel, and a 60-minute challenge with AI grading and shareable result cards.</w:t>
            </w:r>
          </w:p>
        </w:tc>
      </w:tr>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CODE</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hyperlink w:history="1" r:id="rIdfxqdgvtvlcse4cwsf_sr5">
              <w:r>
                <w:rPr>
                  <w:rStyle w:val="Hyperlink"/>
                </w:rPr>
                <w:t xml:space="preserve">github.com/Tendool/NxtWave-Assignment</w:t>
              </w:r>
            </w:hyperlink>
          </w:p>
        </w:tc>
      </w:tr>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val="false"/>
            </w:pPr>
            <w:r>
              <w:rPr>
                <w:rFonts w:ascii="Courier New" w:cs="Courier New" w:eastAsia="Courier New" w:hAnsi="Courier New"/>
                <w:b/>
                <w:bCs/>
                <w:color w:val="16120E"/>
                <w:sz w:val="18"/>
                <w:szCs w:val="18"/>
              </w:rPr>
              <w:t xml:space="preserve">3-MINUTE VIDEO</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val="false"/>
            </w:pPr>
            <w:r>
              <w:rPr>
                <w:b/>
                <w:bCs/>
                <w:highlight w:val="yellow"/>
              </w:rPr>
              <w:t xml:space="preserve">[Add the video link after recording]</w:t>
            </w:r>
          </w:p>
        </w:tc>
      </w:tr>
    </w:tbl>
    <w:p>
      <w:pPr>
        <w:pStyle w:val="Heading1"/>
        <w:spacing w:after="160" w:before="360"/>
      </w:pPr>
      <w:r>
        <w:t xml:space="preserve">AI + learning notes</w:t>
      </w:r>
    </w:p>
    <w:p>
      <w:pPr>
        <w:spacing w:after="120"/>
      </w:pPr>
      <w:r>
        <w:t xml:space="preserve">I built this with AI throughout (Claude Code for the app and these documents). Three examples of what I asked, what the AI suggested, and what I changed as a result.</w:t>
      </w:r>
    </w:p>
    <w:p>
      <w:pPr>
        <w:pStyle w:val="Heading2"/>
        <w:keepNext/>
        <w:spacing w:after="120" w:before="280"/>
      </w:pPr>
      <w:r>
        <w:t xml:space="preserve">1. The challenge question nobody could finish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WHAT I ASKED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t xml:space="preserve">“Check if something is left undone in the app.”</w:t>
            </w:r>
          </w:p>
        </w:tc>
      </w:tr>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WHAT AI SUGGESTED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t xml:space="preserve">The AI ran the whole student flow and found that a generated challenge told students to use “the dataset provided (included in the GitHub repository)” — a dataset no student is ever given. It suggested rewriting the generation prompt.</w:t>
            </w:r>
          </w:p>
        </w:tc>
      </w:tr>
      <w:tr>
        <w:trPr>
          <w:cantSplit/>
        </w:trPr>
        <w:tc>
          <w:tcPr>
            <w:tcW w:type="dxa" w:w="2100"/>
            <w:tcBorders>
              <w:top w:val="single" w:color="16120E" w:sz="6"/>
              <w:left w:val="single" w:color="16120E" w:sz="6"/>
              <w:bottom w:val="single" w:color="16120E" w:sz="6"/>
              <w:right w:val="single" w:color="16120E" w:sz="6"/>
            </w:tcBorders>
            <w:shd w:fill="FFE14D" w:color="auto" w:val="clear"/>
            <w:tcMar>
              <w:top w:type="dxa" w:w="100"/>
              <w:left w:type="dxa" w:w="140"/>
              <w:bottom w:type="dxa" w:w="100"/>
              <w:right w:type="dxa" w:w="140"/>
            </w:tcMar>
          </w:tcPr>
          <w:p>
            <w:pPr>
              <w:keepNext w:val="false"/>
            </w:pPr>
            <w:r>
              <w:rPr>
                <w:rFonts w:ascii="Courier New" w:cs="Courier New" w:eastAsia="Courier New" w:hAnsi="Courier New"/>
                <w:b/>
                <w:bCs/>
                <w:color w:val="16120E"/>
                <w:sz w:val="18"/>
                <w:szCs w:val="18"/>
              </w:rPr>
              <w:t xml:space="preserve">WHAT I CHANGED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val="false"/>
            </w:pPr>
            <w:r>
              <w:t xml:space="preserve">A better prompt alone wasn’t enough, because models ignore instructions. I kept the new prompt and added a check that rejects any brief pointing at “provided”, “attached” or “repository” material and regenerates it, plus a test that uses that exact broken brief so it can never come back.</w:t>
            </w:r>
          </w:p>
        </w:tc>
      </w:tr>
    </w:tbl>
    <w:p>
      <w:pPr>
        <w:spacing w:after="120"/>
      </w:pPr>
    </w:p>
    <w:p>
      <w:pPr>
        <w:pStyle w:val="Heading2"/>
        <w:keepNext/>
        <w:spacing w:after="120" w:before="280"/>
      </w:pPr>
      <w:r>
        <w:t xml:space="preserve">2. Counting visitors per channel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WHAT I ASKED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t xml:space="preserve">Track visits, not just registrations, so the dashboard shows conversion for every tracked link.</w:t>
            </w:r>
          </w:p>
        </w:tc>
      </w:tr>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WHAT AI SUGGESTED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t xml:space="preserve">Its first version counted one visit per browser per day. Testing it in the browser showed the flaw: a student who opened the site directly and later tapped the Instagram link disappeared from Instagram’s numbers.</w:t>
            </w:r>
          </w:p>
        </w:tc>
      </w:tr>
      <w:tr>
        <w:trPr>
          <w:cantSplit/>
        </w:trPr>
        <w:tc>
          <w:tcPr>
            <w:tcW w:type="dxa" w:w="2100"/>
            <w:tcBorders>
              <w:top w:val="single" w:color="16120E" w:sz="6"/>
              <w:left w:val="single" w:color="16120E" w:sz="6"/>
              <w:bottom w:val="single" w:color="16120E" w:sz="6"/>
              <w:right w:val="single" w:color="16120E" w:sz="6"/>
            </w:tcBorders>
            <w:shd w:fill="FFE14D" w:color="auto" w:val="clear"/>
            <w:tcMar>
              <w:top w:type="dxa" w:w="100"/>
              <w:left w:type="dxa" w:w="140"/>
              <w:bottom w:type="dxa" w:w="100"/>
              <w:right w:type="dxa" w:w="140"/>
            </w:tcMar>
          </w:tcPr>
          <w:p>
            <w:pPr>
              <w:keepNext w:val="false"/>
            </w:pPr>
            <w:r>
              <w:rPr>
                <w:rFonts w:ascii="Courier New" w:cs="Courier New" w:eastAsia="Courier New" w:hAnsi="Courier New"/>
                <w:b/>
                <w:bCs/>
                <w:color w:val="16120E"/>
                <w:sz w:val="18"/>
                <w:szCs w:val="18"/>
              </w:rPr>
              <w:t xml:space="preserve">WHAT I CHANGED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val="false"/>
            </w:pPr>
            <w:r>
              <w:t xml:space="preserve">Changed the rule to one visit per browser per day per source, with a migration and a test for exactly that case. Without it, the plan’s Day-3 decision (“move effort to the channel that converts best”) would have been made on wrong numbers.</w:t>
            </w:r>
          </w:p>
        </w:tc>
      </w:tr>
    </w:tbl>
    <w:p>
      <w:pPr>
        <w:spacing w:after="120"/>
      </w:pPr>
    </w:p>
    <w:p>
      <w:pPr>
        <w:pStyle w:val="Heading2"/>
        <w:keepNext/>
        <w:spacing w:after="120" w:before="280"/>
      </w:pPr>
      <w:r>
        <w:t xml:space="preserve">3. Security without blocking real students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WHAT I ASKED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t xml:space="preserve">“Do all the security checks for the application.”</w:t>
            </w:r>
          </w:p>
        </w:tc>
      </w:tr>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WHAT AI SUGGESTED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t xml:space="preserve">It found that nothing was rate-limited: one script could flood registrations or burn the free Gemini quota through the evaluator. It also found a DNS-rebinding hole in the link fetcher, admin sessions that never expired, and that typing someone else’s email revealed their name and college.</w:t>
            </w:r>
          </w:p>
        </w:tc>
      </w:tr>
      <w:tr>
        <w:trPr>
          <w:cantSplit/>
        </w:trPr>
        <w:tc>
          <w:tcPr>
            <w:tcW w:type="dxa" w:w="2100"/>
            <w:tcBorders>
              <w:top w:val="single" w:color="16120E" w:sz="6"/>
              <w:left w:val="single" w:color="16120E" w:sz="6"/>
              <w:bottom w:val="single" w:color="16120E" w:sz="6"/>
              <w:right w:val="single" w:color="16120E" w:sz="6"/>
            </w:tcBorders>
            <w:shd w:fill="FFE14D" w:color="auto" w:val="clear"/>
            <w:tcMar>
              <w:top w:type="dxa" w:w="100"/>
              <w:left w:type="dxa" w:w="140"/>
              <w:bottom w:type="dxa" w:w="100"/>
              <w:right w:type="dxa" w:w="140"/>
            </w:tcMar>
          </w:tcPr>
          <w:p>
            <w:pPr>
              <w:keepNext w:val="false"/>
            </w:pPr>
            <w:r>
              <w:rPr>
                <w:rFonts w:ascii="Courier New" w:cs="Courier New" w:eastAsia="Courier New" w:hAnsi="Courier New"/>
                <w:b/>
                <w:bCs/>
                <w:color w:val="16120E"/>
                <w:sz w:val="18"/>
                <w:szCs w:val="18"/>
              </w:rPr>
              <w:t xml:space="preserve">WHAT I CHANGED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val="false"/>
            </w:pPr>
            <w:r>
              <w:t xml:space="preserve">Added rate limits stored in Postgres, but kept registration generous (30 per 10 minutes per network) because campus Wi-Fi and mobile carriers put many students behind one IP — a strict limit would block real sign-ups exactly when an ambassador posts. The AI features get both a per-person and a daily cap, and the campus kit falls back to templates instead of failing.</w:t>
            </w:r>
          </w:p>
        </w:tc>
      </w:tr>
    </w:tbl>
    <w:p>
      <w:pPr>
        <w:spacing w:after="120"/>
      </w:pPr>
    </w:p>
    <w:p>
      <w:pPr>
        <w:pStyle w:val="Heading2"/>
        <w:keepNext/>
        <w:spacing w:after="120" w:before="280"/>
      </w:pPr>
      <w:r>
        <w:t xml:space="preserve">4. From another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WHAT I ASKED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rPr>
                <w:b/>
                <w:bCs/>
                <w:highlight w:val="yellow"/>
              </w:rPr>
              <w:t xml:space="preserve">[Your prompt — e.g. from ChatGPT, Gemini or Cursor]</w:t>
            </w:r>
          </w:p>
        </w:tc>
      </w:tr>
      <w:tr>
        <w:trPr>
          <w:cantSplit/>
        </w:trPr>
        <w:tc>
          <w:tcPr>
            <w:tcW w:type="dxa" w:w="2100"/>
            <w:tcBorders>
              <w:top w:val="single" w:color="16120E" w:sz="6"/>
              <w:left w:val="single" w:color="16120E" w:sz="6"/>
              <w:bottom w:val="single" w:color="16120E" w:sz="6"/>
              <w:right w:val="single" w:color="16120E" w:sz="6"/>
            </w:tcBorders>
            <w:shd w:fill="E8E1D2" w:color="auto" w:val="clear"/>
            <w:tcMar>
              <w:top w:type="dxa" w:w="100"/>
              <w:left w:type="dxa" w:w="140"/>
              <w:bottom w:type="dxa" w:w="100"/>
              <w:right w:type="dxa" w:w="140"/>
            </w:tcMar>
          </w:tcPr>
          <w:p>
            <w:pPr>
              <w:keepNext/>
            </w:pPr>
            <w:r>
              <w:rPr>
                <w:rFonts w:ascii="Courier New" w:cs="Courier New" w:eastAsia="Courier New" w:hAnsi="Courier New"/>
                <w:b/>
                <w:bCs/>
                <w:color w:val="16120E"/>
                <w:sz w:val="18"/>
                <w:szCs w:val="18"/>
              </w:rPr>
              <w:t xml:space="preserve">WHAT AI SUGGESTED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pPr>
            <w:r>
              <w:rPr>
                <w:b/>
                <w:bCs/>
                <w:highlight w:val="yellow"/>
              </w:rPr>
              <w:t xml:space="preserve">[What it proposed]</w:t>
            </w:r>
          </w:p>
        </w:tc>
      </w:tr>
      <w:tr>
        <w:trPr>
          <w:cantSplit/>
        </w:trPr>
        <w:tc>
          <w:tcPr>
            <w:tcW w:type="dxa" w:w="2100"/>
            <w:tcBorders>
              <w:top w:val="single" w:color="16120E" w:sz="6"/>
              <w:left w:val="single" w:color="16120E" w:sz="6"/>
              <w:bottom w:val="single" w:color="16120E" w:sz="6"/>
              <w:right w:val="single" w:color="16120E" w:sz="6"/>
            </w:tcBorders>
            <w:shd w:fill="FFE14D" w:color="auto" w:val="clear"/>
            <w:tcMar>
              <w:top w:type="dxa" w:w="100"/>
              <w:left w:type="dxa" w:w="140"/>
              <w:bottom w:type="dxa" w:w="100"/>
              <w:right w:type="dxa" w:w="140"/>
            </w:tcMar>
          </w:tcPr>
          <w:p>
            <w:pPr>
              <w:keepNext w:val="false"/>
            </w:pPr>
            <w:r>
              <w:rPr>
                <w:rFonts w:ascii="Courier New" w:cs="Courier New" w:eastAsia="Courier New" w:hAnsi="Courier New"/>
                <w:b/>
                <w:bCs/>
                <w:color w:val="16120E"/>
                <w:sz w:val="18"/>
                <w:szCs w:val="18"/>
              </w:rPr>
              <w:t xml:space="preserve">WHAT I CHANGED</w:t>
            </w:r>
          </w:p>
        </w:tc>
        <w:tc>
          <w:tcPr>
            <w:tcW w:type="dxa" w:w="7538"/>
            <w:tcBorders>
              <w:top w:val="single" w:color="16120E" w:sz="6"/>
              <w:left w:val="single" w:color="16120E" w:sz="6"/>
              <w:bottom w:val="single" w:color="16120E" w:sz="6"/>
              <w:right w:val="single" w:color="16120E" w:sz="6"/>
            </w:tcBorders>
            <w:shd w:fill="FBF8F1" w:color="auto" w:val="clear"/>
            <w:tcMar>
              <w:top w:type="dxa" w:w="100"/>
              <w:left w:type="dxa" w:w="160"/>
              <w:bottom w:type="dxa" w:w="100"/>
              <w:right w:type="dxa" w:w="160"/>
            </w:tcMar>
          </w:tcPr>
          <w:p>
            <w:pPr>
              <w:keepNext w:val="false"/>
            </w:pPr>
            <w:r>
              <w:rPr>
                <w:b/>
                <w:bCs/>
                <w:highlight w:val="yellow"/>
              </w:rPr>
              <w:t xml:space="preserve">[What you did differently, and why]</w:t>
            </w:r>
          </w:p>
        </w:tc>
      </w:tr>
    </w:tbl>
    <w:p>
      <w:pPr>
        <w:pStyle w:val="Heading1"/>
        <w:spacing w:after="160" w:before="360"/>
      </w:pPr>
      <w:r>
        <w:t xml:space="preserve">How I thought</w:t>
      </w:r>
    </w:p>
    <w:p>
      <w:pPr>
        <w:pStyle w:val="Heading2"/>
        <w:keepNext/>
        <w:spacing w:after="120" w:before="280"/>
      </w:pPr>
      <w:r>
        <w:t xml:space="preserve">What changed between my first idea and the final solution?</w:t>
      </w:r>
    </w:p>
    <w:p>
      <w:pPr>
        <w:spacing w:after="120"/>
      </w:pPr>
      <w:r>
        <w:t xml:space="preserve">The first version was what the brief warned about: a landing page with a sign-up form and referral links. I realised a landing page doesn’t get 500 sign-ups — distribution does. So the asset became the engine that runs the plan:</w:t>
      </w:r>
    </w:p>
    <w:p>
      <w:pPr>
        <w:pStyle w:val="ListParagraph"/>
        <w:numPr>
          <w:ilvl w:val="0"/>
          <w:numId w:val="2"/>
        </w:numPr>
        <w:spacing w:after="80"/>
      </w:pPr>
      <w:r>
        <w:rPr>
          <w:b/>
          <w:bCs/>
        </w:rPr>
        <w:t xml:space="preserve">Referral links and a college leaderboard </w:t>
      </w:r>
      <w:r>
        <w:t xml:space="preserve">for the referral channel.</w:t>
      </w:r>
    </w:p>
    <w:p>
      <w:pPr>
        <w:pStyle w:val="ListParagraph"/>
        <w:numPr>
          <w:ilvl w:val="0"/>
          <w:numId w:val="2"/>
        </w:numPr>
        <w:spacing w:after="80"/>
      </w:pPr>
      <w:r>
        <w:rPr>
          <w:b/>
          <w:bCs/>
        </w:rPr>
        <w:t xml:space="preserve">An ambassador kit with tracked links </w:t>
      </w:r>
      <w:r>
        <w:t xml:space="preserve">for the WhatsApp channel.</w:t>
      </w:r>
    </w:p>
    <w:p>
      <w:pPr>
        <w:pStyle w:val="ListParagraph"/>
        <w:numPr>
          <w:ilvl w:val="0"/>
          <w:numId w:val="2"/>
        </w:numPr>
        <w:spacing w:after="80"/>
      </w:pPr>
      <w:r>
        <w:rPr>
          <w:b/>
          <w:bCs/>
        </w:rPr>
        <w:t xml:space="preserve">An admin dashboard </w:t>
      </w:r>
      <w:r>
        <w:t xml:space="preserve">showing plan vs actual, and later conversion per source, so the plan’s assumptions are tested from Day 1 instead of believed.</w:t>
      </w:r>
    </w:p>
    <w:p>
      <w:pPr>
        <w:pStyle w:val="ListParagraph"/>
        <w:numPr>
          <w:ilvl w:val="0"/>
          <w:numId w:val="2"/>
        </w:numPr>
        <w:spacing w:after="80"/>
      </w:pPr>
      <w:r>
        <w:rPr>
          <w:b/>
          <w:bCs/>
        </w:rPr>
        <w:t xml:space="preserve">A 60-minute challenge with shareable result cards, </w:t>
      </w:r>
      <w:r>
        <w:t xml:space="preserve">so the workshop itself brings in the next wave.</w:t>
      </w:r>
    </w:p>
    <w:p>
      <w:pPr>
        <w:spacing w:after="120"/>
      </w:pPr>
      <w:r>
        <w:t xml:space="preserve">Then trust: an AI score nobody can check is worse than no score, so grading now uses two reviewers, quotes checked against the actual submission, and a human override.</w:t>
      </w:r>
    </w:p>
    <w:p>
      <w:pPr>
        <w:pStyle w:val="Heading2"/>
        <w:keepNext/>
        <w:spacing w:after="120" w:before="280"/>
      </w:pPr>
      <w:r>
        <w:t xml:space="preserve">If I had another 24 hours, what would I improve?</w:t>
      </w:r>
    </w:p>
    <w:p>
      <w:pPr>
        <w:pStyle w:val="ListParagraph"/>
        <w:numPr>
          <w:ilvl w:val="0"/>
          <w:numId w:val="2"/>
        </w:numPr>
        <w:spacing w:after="80"/>
      </w:pPr>
      <w:r>
        <w:rPr>
          <w:b/>
          <w:bCs/>
        </w:rPr>
        <w:t xml:space="preserve">Watch 20 real final-year students register </w:t>
      </w:r>
      <w:r>
        <w:t xml:space="preserve">and fix whatever confuses them — the funnel rates in the plan are still assumptions.</w:t>
      </w:r>
    </w:p>
    <w:p>
      <w:pPr>
        <w:pStyle w:val="ListParagraph"/>
        <w:numPr>
          <w:ilvl w:val="0"/>
          <w:numId w:val="2"/>
        </w:numPr>
        <w:spacing w:after="80"/>
      </w:pPr>
      <w:r>
        <w:rPr>
          <w:b/>
          <w:bCs/>
        </w:rPr>
        <w:t xml:space="preserve">Automatic WhatsApp reminders </w:t>
      </w:r>
      <w:r>
        <w:t xml:space="preserve">through the WhatsApp Business API (today it’s the group link plus calendar reminders).</w:t>
      </w:r>
    </w:p>
    <w:p>
      <w:pPr>
        <w:pStyle w:val="ListParagraph"/>
        <w:numPr>
          <w:ilvl w:val="0"/>
          <w:numId w:val="2"/>
        </w:numPr>
        <w:spacing w:after="80"/>
      </w:pPr>
      <w:r>
        <w:rPr>
          <w:b/>
          <w:bCs/>
        </w:rPr>
        <w:t xml:space="preserve">A retry queue for AI grading, </w:t>
      </w:r>
      <w:r>
        <w:t xml:space="preserve">because most students submit in the last five minutes and the free Gemini tier has a per-minute limit.</w:t>
      </w:r>
    </w:p>
    <w:p>
      <w:pPr>
        <w:pStyle w:val="ListParagraph"/>
        <w:numPr>
          <w:ilvl w:val="0"/>
          <w:numId w:val="2"/>
        </w:numPr>
        <w:spacing w:after="80"/>
      </w:pPr>
      <w:r>
        <w:rPr>
          <w:b/>
          <w:bCs/>
        </w:rPr>
        <w:t xml:space="preserve">A/B test the headline and the referral message </w:t>
      </w:r>
      <w:r>
        <w:t xml:space="preserve">using the conversion-by-source data the dashboard already collects.</w:t>
      </w:r>
    </w:p>
    <w:p>
      <w:pPr>
        <w:pStyle w:val="ListParagraph"/>
        <w:numPr>
          <w:ilvl w:val="0"/>
          <w:numId w:val="2"/>
        </w:numPr>
        <w:spacing w:after="80"/>
      </w:pPr>
      <w:r>
        <w:rPr>
          <w:b/>
          <w:bCs/>
        </w:rPr>
        <w:t xml:space="preserve">A strict Content-Security-Policy and an accessibility pass.</w:t>
      </w:r>
    </w:p>
    <w:p>
      <w:pPr>
        <w:pStyle w:val="Heading2"/>
        <w:keepNext/>
        <w:spacing w:after="120" w:before="280"/>
      </w:pPr>
      <w:r>
        <w:t xml:space="preserve">What did AI suggest that I deliberately rejected, and why?</w:t>
      </w:r>
    </w:p>
    <w:p>
      <w:pPr>
        <w:spacing w:after="120"/>
      </w:pPr>
      <w:r>
        <w:t xml:space="preserve">Midway through, the AI advised me to stop adding features and spend the time on the plan, notes and video, and later recommended skipping 3D in favour of lighter animations because of phones. </w:t>
      </w:r>
      <w:r>
        <w:t xml:space="preserve">I went the other way and redesigned the whole site with animated components and a Three.js hero, </w:t>
      </w:r>
      <w:r>
        <w:t xml:space="preserve">because the brief explicitly rewards a more complex, more effective asset, and the asset is the first thing a reviewer opens. </w:t>
      </w:r>
      <w:r>
        <w:rPr>
          <w:b/>
          <w:bCs/>
          <w:highlight w:val="yellow"/>
        </w:rPr>
        <w:t xml:space="preserve">[Confirm this is your reason, or replace it with your own]</w:t>
      </w:r>
    </w:p>
    <w:p>
      <w:pPr>
        <w:spacing w:after="120"/>
      </w:pPr>
      <w:r>
        <w:t xml:space="preserve">I kept the reasoning behind its caution, though: the 3D only loads on capable desktops, after the page is idle, and never on phones, in data-saver mode or with reduced motion — so the students the plan is for still get a fast page.</w:t>
      </w:r>
    </w:p>
    <w:p>
      <w:pPr>
        <w:spacing w:after="120"/>
      </w:pPr>
      <w:r>
        <w:rPr>
          <w:b/>
          <w:bCs/>
          <w:highlight w:val="yellow"/>
        </w:rPr>
        <w:t xml:space="preserve">[Optional: add one thing another AI tool suggested that you rejected]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256"/>
        <w:sz w:val="16"/>
        <w:szCs w:val="16"/>
      </w:rPr>
      <w:t xml:space="preserve">Build60 · submission notes · page </w:t>
    </w:r>
    <w:r>
      <w:rPr>
        <w:color w:val="6B625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20E"/>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mbria" w:cs="Cambria" w:eastAsia="Cambria" w:hAnsi="Cambria"/>
      <w:color w:val="16120E"/>
      <w:sz w:val="52"/>
      <w:szCs w:val="52"/>
    </w:rPr>
  </w:style>
  <w:style w:type="paragraph" w:styleId="Heading1">
    <w:name w:val="Heading 1"/>
    <w:basedOn w:val="Normal"/>
    <w:next w:val="Normal"/>
    <w:qFormat/>
    <w:pPr>
      <w:outlineLvl w:val="0"/>
    </w:pPr>
    <w:rPr>
      <w:rFonts w:ascii="Cambria" w:cs="Cambria" w:eastAsia="Cambria" w:hAnsi="Cambria"/>
      <w:color w:val="16120E"/>
      <w:sz w:val="34"/>
      <w:szCs w:val="34"/>
    </w:rPr>
  </w:style>
  <w:style w:type="paragraph" w:styleId="Heading2">
    <w:name w:val="Heading 2"/>
    <w:basedOn w:val="Normal"/>
    <w:next w:val="Normal"/>
    <w:qFormat/>
    <w:pPr>
      <w:outlineLvl w:val="1"/>
    </w:pPr>
    <w:rPr>
      <w:rFonts w:ascii="Cambria" w:cs="Cambria" w:eastAsia="Cambria" w:hAnsi="Cambria"/>
      <w:color w:val="FF4A1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xqdgvtvlcse4cwsf_sr5" Type="http://schemas.openxmlformats.org/officeDocument/2006/relationships/hyperlink" Target="https://github.com/Tendool/NxtWave-Assignmen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Build60 — Submission notes</dc:title>
  <dc:creator>Tendool</dc:creator>
  <cp:lastModifiedBy>Un-named</cp:lastModifiedBy>
  <cp:revision>1</cp:revision>
  <dcterms:created xsi:type="dcterms:W3CDTF">2026-10-04T17:05:14.102Z</dcterms:created>
  <dcterms:modified xsi:type="dcterms:W3CDTF">2026-10-04T17:05:14.102Z</dcterms:modified>
</cp:coreProperties>
</file>

<file path=docProps/custom.xml><?xml version="1.0" encoding="utf-8"?>
<Properties xmlns="http://schemas.openxmlformats.org/officeDocument/2006/custom-properties" xmlns:vt="http://schemas.openxmlformats.org/officeDocument/2006/docPropsVTypes"/>
</file>