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7030B" w14:textId="21E38093" w:rsidR="008C7456" w:rsidRPr="008C7456" w:rsidRDefault="008C7456" w:rsidP="008C7456">
      <w:pPr>
        <w:jc w:val="center"/>
        <w:rPr>
          <w:rFonts w:ascii="Arial" w:hAnsi="Arial" w:cs="Arial"/>
          <w:b/>
          <w:bCs/>
          <w:sz w:val="24"/>
          <w:szCs w:val="24"/>
          <w:u w:val="single"/>
        </w:rPr>
      </w:pPr>
      <w:r w:rsidRPr="008C7456">
        <w:rPr>
          <w:rFonts w:ascii="Arial" w:hAnsi="Arial" w:cs="Arial"/>
          <w:b/>
          <w:bCs/>
          <w:sz w:val="24"/>
          <w:szCs w:val="24"/>
          <w:u w:val="single"/>
        </w:rPr>
        <w:t>I</w:t>
      </w:r>
      <w:r w:rsidRPr="008C7456">
        <w:rPr>
          <w:rFonts w:ascii="Arial" w:hAnsi="Arial" w:cs="Arial"/>
          <w:b/>
          <w:bCs/>
          <w:sz w:val="24"/>
          <w:szCs w:val="24"/>
          <w:u w:val="single"/>
        </w:rPr>
        <w:t>ntroducción</w:t>
      </w:r>
    </w:p>
    <w:p w14:paraId="2E3CADFD" w14:textId="77777777" w:rsidR="008C7456" w:rsidRPr="008C7456" w:rsidRDefault="008C7456" w:rsidP="008C7456">
      <w:pPr>
        <w:jc w:val="both"/>
        <w:rPr>
          <w:rFonts w:ascii="Arial" w:hAnsi="Arial" w:cs="Arial"/>
          <w:sz w:val="24"/>
          <w:szCs w:val="24"/>
        </w:rPr>
      </w:pPr>
      <w:r w:rsidRPr="008C7456">
        <w:rPr>
          <w:rFonts w:ascii="Arial" w:hAnsi="Arial" w:cs="Arial"/>
          <w:sz w:val="24"/>
          <w:szCs w:val="24"/>
        </w:rPr>
        <w:t>El sistema político cubano constituye la expresión institucional, normativa, relacional e ideológico-cultural del poder del pueblo trabajador, erigido sobre las ruinas del Estado neocolonial burgués a partir del triunfo revolucionario de 1959. Analizarlo desde las posiciones teóricas que le otorgan sentido —el marxismo como ciencia de la revolución, el pensamiento martiano como cimiento ético y antiimperialista de la nación, y el pensamiento fidelista como praxis creadora del socialismo cubano— es un imperativo ideológico para todo militante comunista y, en especial, para quien tiene la responsabilidad de defender políticamente la continuidad revolucionaria.</w:t>
      </w:r>
    </w:p>
    <w:p w14:paraId="68B22C6F" w14:textId="2FC840E0" w:rsidR="008C7456" w:rsidRPr="008C7456" w:rsidRDefault="008C7456" w:rsidP="008C7456">
      <w:pPr>
        <w:jc w:val="both"/>
        <w:rPr>
          <w:rFonts w:ascii="Arial" w:hAnsi="Arial" w:cs="Arial"/>
          <w:b/>
          <w:bCs/>
          <w:sz w:val="24"/>
          <w:szCs w:val="24"/>
        </w:rPr>
      </w:pPr>
      <w:r w:rsidRPr="008C7456">
        <w:rPr>
          <w:rFonts w:ascii="Arial" w:hAnsi="Arial" w:cs="Arial"/>
          <w:b/>
          <w:bCs/>
          <w:sz w:val="24"/>
          <w:szCs w:val="24"/>
        </w:rPr>
        <w:t>Precisiones conceptuales: las posiciones marxista, martiana y fidelista aplicadas al análisis del sistema político</w:t>
      </w:r>
    </w:p>
    <w:p w14:paraId="5F8592DF" w14:textId="19351BD6" w:rsidR="008C7456" w:rsidRPr="008C7456" w:rsidRDefault="008C7456" w:rsidP="008C7456">
      <w:pPr>
        <w:pStyle w:val="Prrafodelista"/>
        <w:numPr>
          <w:ilvl w:val="0"/>
          <w:numId w:val="8"/>
        </w:numPr>
        <w:jc w:val="both"/>
        <w:rPr>
          <w:rFonts w:ascii="Arial" w:hAnsi="Arial" w:cs="Arial"/>
          <w:sz w:val="24"/>
          <w:szCs w:val="24"/>
        </w:rPr>
      </w:pPr>
      <w:r w:rsidRPr="008C7456">
        <w:rPr>
          <w:rFonts w:ascii="Arial" w:hAnsi="Arial" w:cs="Arial"/>
          <w:b/>
          <w:bCs/>
          <w:sz w:val="24"/>
          <w:szCs w:val="24"/>
        </w:rPr>
        <w:t>La posición marxista</w:t>
      </w:r>
      <w:r w:rsidRPr="008C7456">
        <w:rPr>
          <w:rFonts w:ascii="Arial" w:hAnsi="Arial" w:cs="Arial"/>
          <w:sz w:val="24"/>
          <w:szCs w:val="24"/>
        </w:rPr>
        <w:t xml:space="preserve"> que asumimos se sustenta en la teoría del materialismo histórico. Partimos del reconocimiento de que el sistema político es parte de la superestructura de la sociedad, condicionada en última instancia por la base económica, pero con una autonomía relativa y una capacidad activa de transformación de esa base. Marx, en el “Prólogo de la Contribución a la Crítica de la Economía Política”, establece que “el conjunto de las relaciones de producción forma la estructura económica de la sociedad, la base real sobre la que se levanta la superestructura jurídica y política y a la que corresponden determinadas formas de conciencia social”. Aplicamos, por tanto, un enfoque de totalidad, que vincula las transformaciones del sistema político con las necesidades del desarrollo económico</w:t>
      </w:r>
      <w:r w:rsidRPr="008C7456">
        <w:rPr>
          <w:rFonts w:ascii="Arial" w:hAnsi="Arial" w:cs="Arial"/>
          <w:sz w:val="24"/>
          <w:szCs w:val="24"/>
        </w:rPr>
        <w:noBreakHyphen/>
        <w:t>social, con la lucha de clases —en nuestro caso, la resistencia frente al imperialismo y la construcción de la hegemonía del proletariado en alianza con el campesinado y demás sectores populares— y con la transición al socialismo como un proceso prolongado y complejo, en el cual el Estado no se extingue sino que se perfecciona como instrumento de la dictadura del proletariado, en forma de Estado socialista de derecho.</w:t>
      </w:r>
      <w:r>
        <w:rPr>
          <w:rFonts w:ascii="Arial" w:hAnsi="Arial" w:cs="Arial"/>
          <w:sz w:val="24"/>
          <w:szCs w:val="24"/>
        </w:rPr>
        <w:t xml:space="preserve"> </w:t>
      </w:r>
      <w:r w:rsidRPr="008C7456">
        <w:rPr>
          <w:rFonts w:ascii="Arial" w:hAnsi="Arial" w:cs="Arial"/>
          <w:sz w:val="24"/>
          <w:szCs w:val="24"/>
        </w:rPr>
        <w:t>Asimismo, la concepción marxista</w:t>
      </w:r>
      <w:r w:rsidRPr="008C7456">
        <w:rPr>
          <w:rFonts w:ascii="Arial" w:hAnsi="Arial" w:cs="Arial"/>
          <w:sz w:val="24"/>
          <w:szCs w:val="24"/>
        </w:rPr>
        <w:noBreakHyphen/>
        <w:t>leninista del Estado nos enseña que el sistema político no puede ser estático; debe ajustarse a las condiciones históricas concretas, garantizando la participación cada vez más amplia de las masas en la dirección de los asuntos públicos. Ello se materializa en los conceptos de centralismo democrático, democracia socialista y control popular, que impregnan nuestra práctica institucional. La posición marxista exige, pues, analizar el sistema político cubano como el producto del desarrollo histórico de la revolución socialista, condicionado por las fuerzas productivas y las relaciones de producción, y a la vez como instrumento para transformarlas.</w:t>
      </w:r>
    </w:p>
    <w:p w14:paraId="63F1908A" w14:textId="0530556B" w:rsidR="008C7456" w:rsidRPr="008C7456" w:rsidRDefault="008C7456" w:rsidP="008C7456">
      <w:pPr>
        <w:pStyle w:val="Prrafodelista"/>
        <w:numPr>
          <w:ilvl w:val="0"/>
          <w:numId w:val="8"/>
        </w:numPr>
        <w:jc w:val="both"/>
        <w:rPr>
          <w:rFonts w:ascii="Arial" w:hAnsi="Arial" w:cs="Arial"/>
          <w:sz w:val="24"/>
          <w:szCs w:val="24"/>
        </w:rPr>
      </w:pPr>
      <w:r w:rsidRPr="008C7456">
        <w:rPr>
          <w:rFonts w:ascii="Arial" w:hAnsi="Arial" w:cs="Arial"/>
          <w:b/>
          <w:bCs/>
          <w:sz w:val="24"/>
          <w:szCs w:val="24"/>
        </w:rPr>
        <w:t>La posición martiana</w:t>
      </w:r>
      <w:r w:rsidRPr="008C7456">
        <w:rPr>
          <w:rFonts w:ascii="Arial" w:hAnsi="Arial" w:cs="Arial"/>
          <w:sz w:val="24"/>
          <w:szCs w:val="24"/>
        </w:rPr>
        <w:t xml:space="preserve"> es asumida como la </w:t>
      </w:r>
      <w:proofErr w:type="gramStart"/>
      <w:r w:rsidRPr="008C7456">
        <w:rPr>
          <w:rFonts w:ascii="Arial" w:hAnsi="Arial" w:cs="Arial"/>
          <w:sz w:val="24"/>
          <w:szCs w:val="24"/>
        </w:rPr>
        <w:t>plataforma ético</w:t>
      </w:r>
      <w:proofErr w:type="gramEnd"/>
      <w:r w:rsidRPr="008C7456">
        <w:rPr>
          <w:rFonts w:ascii="Arial" w:hAnsi="Arial" w:cs="Arial"/>
          <w:sz w:val="24"/>
          <w:szCs w:val="24"/>
        </w:rPr>
        <w:noBreakHyphen/>
        <w:t xml:space="preserve">política fundacional de la nación cubana. José Martí, el más genial pensador político cubano del siglo XIX, nos legó un ideario que constituye la base de nuestra identidad nacional y de nuestra concepción de la república. Su principio de “con todos y para el bien de todos” es la divisa de la democracia socialista </w:t>
      </w:r>
      <w:r w:rsidRPr="008C7456">
        <w:rPr>
          <w:rFonts w:ascii="Arial" w:hAnsi="Arial" w:cs="Arial"/>
          <w:sz w:val="24"/>
          <w:szCs w:val="24"/>
        </w:rPr>
        <w:lastRenderedPageBreak/>
        <w:t>cubana, opuesta a cualquier exclusión clasista. Su antiimperialismo radical —condensado en la advertencia sobre “la tiranía que nos amenaza” y en la necesidad de la “segunda independencia”— es fuente ideológica directa de la definición socialista y antiimperialista de nuestra Revolución, tal como Fidel la sintetizara en el juicio por el Moncada.</w:t>
      </w:r>
      <w:r>
        <w:rPr>
          <w:rFonts w:ascii="Arial" w:hAnsi="Arial" w:cs="Arial"/>
          <w:sz w:val="24"/>
          <w:szCs w:val="24"/>
        </w:rPr>
        <w:t xml:space="preserve"> </w:t>
      </w:r>
      <w:r w:rsidRPr="008C7456">
        <w:rPr>
          <w:rFonts w:ascii="Arial" w:hAnsi="Arial" w:cs="Arial"/>
          <w:sz w:val="24"/>
          <w:szCs w:val="24"/>
        </w:rPr>
        <w:t xml:space="preserve">La posición martiana, aplicada al sistema político, implica valorar la capacidad del proyecto revolucionario de construir una república que no sea mera copia de modelos foráneos, sino una creación autóctona, donde la política sea “el arte de hacer felices a los hombres” y donde el equilibrio del mundo se busque con el reconocimiento de la dignidad plena del ser humano. En términos institucionales, Martí defendió una república democrática, con amplia participación popular, con un gobierno surgido del </w:t>
      </w:r>
      <w:proofErr w:type="gramStart"/>
      <w:r w:rsidRPr="008C7456">
        <w:rPr>
          <w:rFonts w:ascii="Arial" w:hAnsi="Arial" w:cs="Arial"/>
          <w:sz w:val="24"/>
          <w:szCs w:val="24"/>
        </w:rPr>
        <w:t>sufragio</w:t>
      </w:r>
      <w:proofErr w:type="gramEnd"/>
      <w:r w:rsidRPr="008C7456">
        <w:rPr>
          <w:rFonts w:ascii="Arial" w:hAnsi="Arial" w:cs="Arial"/>
          <w:sz w:val="24"/>
          <w:szCs w:val="24"/>
        </w:rPr>
        <w:t xml:space="preserve"> pero, sobre todo, con una ciudadanía virtuosa y culta. La posición martiana nos impone examinar si nuestro sistema político garantiza la soberanía, la independencia nacional, la justicia social y la participación popular efectiva, valores que se expresan hoy en la Constitución de 2019 y en el perfeccionamiento del Poder Popular.</w:t>
      </w:r>
    </w:p>
    <w:p w14:paraId="30B4B982" w14:textId="5B2AC16C" w:rsidR="008C7456" w:rsidRPr="008C7456" w:rsidRDefault="008C7456" w:rsidP="008C7456">
      <w:pPr>
        <w:pStyle w:val="Prrafodelista"/>
        <w:numPr>
          <w:ilvl w:val="0"/>
          <w:numId w:val="8"/>
        </w:numPr>
        <w:jc w:val="both"/>
        <w:rPr>
          <w:rFonts w:ascii="Arial" w:hAnsi="Arial" w:cs="Arial"/>
          <w:sz w:val="24"/>
          <w:szCs w:val="24"/>
        </w:rPr>
      </w:pPr>
      <w:r w:rsidRPr="008C7456">
        <w:rPr>
          <w:rFonts w:ascii="Arial" w:hAnsi="Arial" w:cs="Arial"/>
          <w:b/>
          <w:bCs/>
          <w:sz w:val="24"/>
          <w:szCs w:val="24"/>
        </w:rPr>
        <w:t>La posición fidelista</w:t>
      </w:r>
      <w:r w:rsidRPr="008C7456">
        <w:rPr>
          <w:rFonts w:ascii="Arial" w:hAnsi="Arial" w:cs="Arial"/>
          <w:sz w:val="24"/>
          <w:szCs w:val="24"/>
        </w:rPr>
        <w:t xml:space="preserve"> integra y supera las anteriores, al ser la encarnación creadora del marxismo y el pensamiento martiano en las condiciones concretas de Cuba. Fidel Castro Ruz es el arquitecto político del sistema socialista cubano; su concepto de Revolución, enunciado el 1º de mayo de 2000, resume los pilares de nuestro sistema político: “Revolución es sentido del momento histórico; es cambiar todo lo que debe ser cambiado; es igualdad y libertad plenas; es ser tratado y tratar a los demás como seres humanos; es emanciparnos por nosotros mismos y con nuestros propios esfuerzos; es desafiar poderosas fuerzas dominantes dentro y fuera del ámbito social y nacional; es defender valores en los que se cree al precio de cualquier sacrificio; es modestia, desinterés, altruismo, solidaridad y heroísmo; es luchar con audacia, inteligencia y realismo; es no mentir jamás ni violar principios éticos; es convicción profunda de que no existe fuerza en el mundo capaz de aplastar la fuerza de la verdad y las ideas. Revolución es unidad, es independencia, es luchar por nuestros sueños de justicia para Cuba y para el mundo, que es la base de nuestro patriotismo, nuestro socialismo y nuestro internacionalismo.”</w:t>
      </w:r>
      <w:r>
        <w:rPr>
          <w:rFonts w:ascii="Arial" w:hAnsi="Arial" w:cs="Arial"/>
          <w:sz w:val="24"/>
          <w:szCs w:val="24"/>
        </w:rPr>
        <w:t xml:space="preserve"> </w:t>
      </w:r>
      <w:r w:rsidRPr="008C7456">
        <w:rPr>
          <w:rFonts w:ascii="Arial" w:hAnsi="Arial" w:cs="Arial"/>
          <w:sz w:val="24"/>
          <w:szCs w:val="24"/>
        </w:rPr>
        <w:t>La posición fidelista nos obliga a examinar el sistema político no como un molde rígido, sino como un órgano permanentemente sujeto a revisión crítica, a la actualización necesaria para hacer irreversible el socialismo. Fidel enseñó que el poder político no se defiende solo con la fuerza de las armas o la coerción legal, sino con la legitimidad que emana de la participación popular, de la capacidad de rectificar errores, de poner la economía al servicio del bienestar del pueblo y de la integración latinoamericanista. Su insistencia en el “perfeccionamiento” del sistema, en la necesidad de que el Partido sea la vanguardia organizada pero no suplante a las masas, en la institucionalización de la Revolución a partir de los años 70, son guías insustituibles para esta valoración.</w:t>
      </w:r>
    </w:p>
    <w:p w14:paraId="73C9C123" w14:textId="77777777" w:rsidR="008C7456" w:rsidRPr="008C7456" w:rsidRDefault="008C7456" w:rsidP="008C7456">
      <w:pPr>
        <w:jc w:val="both"/>
        <w:rPr>
          <w:rFonts w:ascii="Arial" w:hAnsi="Arial" w:cs="Arial"/>
          <w:sz w:val="24"/>
          <w:szCs w:val="24"/>
        </w:rPr>
      </w:pPr>
      <w:r w:rsidRPr="008C7456">
        <w:rPr>
          <w:rFonts w:ascii="Arial" w:hAnsi="Arial" w:cs="Arial"/>
          <w:sz w:val="24"/>
          <w:szCs w:val="24"/>
        </w:rPr>
        <w:lastRenderedPageBreak/>
        <w:t>2. Análisis del sistema político cubano a través de sus etapas: un organismo en permanente transformación</w:t>
      </w:r>
    </w:p>
    <w:p w14:paraId="557953C2" w14:textId="5FCE56E0" w:rsidR="008C7456" w:rsidRPr="008C7456" w:rsidRDefault="008C7456" w:rsidP="008C7456">
      <w:pPr>
        <w:pStyle w:val="Prrafodelista"/>
        <w:numPr>
          <w:ilvl w:val="0"/>
          <w:numId w:val="9"/>
        </w:numPr>
        <w:jc w:val="both"/>
        <w:rPr>
          <w:rFonts w:ascii="Arial" w:hAnsi="Arial" w:cs="Arial"/>
          <w:sz w:val="24"/>
          <w:szCs w:val="24"/>
        </w:rPr>
      </w:pPr>
      <w:r w:rsidRPr="008C7456">
        <w:rPr>
          <w:rFonts w:ascii="Arial" w:hAnsi="Arial" w:cs="Arial"/>
          <w:b/>
          <w:bCs/>
          <w:sz w:val="24"/>
          <w:szCs w:val="24"/>
        </w:rPr>
        <w:t>Primera etapa: 1959-1961.</w:t>
      </w:r>
      <w:r w:rsidRPr="008C7456">
        <w:rPr>
          <w:rFonts w:ascii="Arial" w:hAnsi="Arial" w:cs="Arial"/>
          <w:sz w:val="24"/>
          <w:szCs w:val="24"/>
        </w:rPr>
        <w:br/>
        <w:t xml:space="preserve">Con el triunfo de enero, la Revolución asumió el poder político sin heredar el viejo aparato estatal burgués. Siguiendo la enseñanza marxista de que el proletariado no puede simplemente tomar la máquina del Estado y ponerla a funcionar a su servicio, se procedió a desmontar las instituciones opresoras del régimen batistiano: el ejército fue licenciado y sustituido por el Ejército Rebelde y las Milicias Nacionales Revolucionarias; la policía represiva se disolvió; el Congreso fue disuelto. El gobierno revolucionario provisional, encabezado por Fidel, asumió plenas funciones legislativas y ejecutivas mediante el Consejo de </w:t>
      </w:r>
      <w:proofErr w:type="gramStart"/>
      <w:r w:rsidRPr="008C7456">
        <w:rPr>
          <w:rFonts w:ascii="Arial" w:hAnsi="Arial" w:cs="Arial"/>
          <w:sz w:val="24"/>
          <w:szCs w:val="24"/>
        </w:rPr>
        <w:t>Ministros</w:t>
      </w:r>
      <w:proofErr w:type="gramEnd"/>
      <w:r w:rsidRPr="008C7456">
        <w:rPr>
          <w:rFonts w:ascii="Arial" w:hAnsi="Arial" w:cs="Arial"/>
          <w:sz w:val="24"/>
          <w:szCs w:val="24"/>
        </w:rPr>
        <w:t>, sin que existiesen todavía órganos electivos de poder. Esta concentración de poderes respondía a la necesidad histórica de defender la Revolución frente a la agresión imperialista y la contrarrevolución interna, en un contexto de aguda lucha de clases. No era un supuesto “autoritarismo”; era, en términos marxistas, la dictadura revolucionaria del bloque popular dirigido por el proletariado, imprescindible para realizar las transformaciones democrático</w:t>
      </w:r>
      <w:r w:rsidRPr="008C7456">
        <w:rPr>
          <w:rFonts w:ascii="Arial" w:hAnsi="Arial" w:cs="Arial"/>
          <w:sz w:val="24"/>
          <w:szCs w:val="24"/>
        </w:rPr>
        <w:noBreakHyphen/>
        <w:t>populares (reforma agraria, nacionalización de empresas extranjeras, campaña de alfabetización, eliminación de la discriminación racial formal) y preparar el paso al socialismo.</w:t>
      </w:r>
      <w:r>
        <w:rPr>
          <w:rFonts w:ascii="Arial" w:hAnsi="Arial" w:cs="Arial"/>
          <w:sz w:val="24"/>
          <w:szCs w:val="24"/>
        </w:rPr>
        <w:t xml:space="preserve"> </w:t>
      </w:r>
      <w:r w:rsidRPr="008C7456">
        <w:rPr>
          <w:rFonts w:ascii="Arial" w:hAnsi="Arial" w:cs="Arial"/>
          <w:sz w:val="24"/>
          <w:szCs w:val="24"/>
        </w:rPr>
        <w:t>En esta etapa se crearon, refundaron o potenciaron las organizaciones de masas que forman parte de la organización política de la sociedad: los Comités de Defensa de la Revolución (CDR), la Federación de Mujeres Cubanas (FMC), la Asociación Nacional de Agricultores Pequeños (ANAP), la Unión de Pioneros de Cuba (UPC) y las organizaciones estudiantiles (FEU, FEEM). La centralización del poder estatal se compensó con una masiva socialización política a través de estas organizaciones, que vehiculizaron la participación popular directa en la defensa y en las tareas de la Revolución. Se produjo, asimismo, el paso de la etapa democrático</w:t>
      </w:r>
      <w:r w:rsidRPr="008C7456">
        <w:rPr>
          <w:rFonts w:ascii="Arial" w:hAnsi="Arial" w:cs="Arial"/>
          <w:sz w:val="24"/>
          <w:szCs w:val="24"/>
        </w:rPr>
        <w:noBreakHyphen/>
        <w:t>popular a la socialista, con la declaración del carácter socialista de la Revolución en abril de 1961, vísperas de Playa Girón, cuando los obreros y milicianos ya se habían armado para defender las conquistas. La génesis del sistema político cubano se forjó, pues, en medio de la lucha armada, la movilización popular y la aplicación de los principios martianos y fidelistas de independencia y justicia social, sobre una plataforma marxista</w:t>
      </w:r>
      <w:r w:rsidRPr="008C7456">
        <w:rPr>
          <w:rFonts w:ascii="Arial" w:hAnsi="Arial" w:cs="Arial"/>
          <w:sz w:val="24"/>
          <w:szCs w:val="24"/>
        </w:rPr>
        <w:noBreakHyphen/>
        <w:t>leninista que comprendía que el poder se defiende con las masas en la calle y con una institucionalidad revolucionaria emergente.</w:t>
      </w:r>
    </w:p>
    <w:p w14:paraId="4D553991" w14:textId="417DF243" w:rsidR="008C7456" w:rsidRPr="008C7456" w:rsidRDefault="008C7456" w:rsidP="008C7456">
      <w:pPr>
        <w:pStyle w:val="Prrafodelista"/>
        <w:numPr>
          <w:ilvl w:val="0"/>
          <w:numId w:val="9"/>
        </w:numPr>
        <w:rPr>
          <w:rFonts w:ascii="Arial" w:hAnsi="Arial" w:cs="Arial"/>
          <w:sz w:val="24"/>
          <w:szCs w:val="24"/>
        </w:rPr>
      </w:pPr>
      <w:r w:rsidRPr="008C7456">
        <w:rPr>
          <w:rFonts w:ascii="Arial" w:hAnsi="Arial" w:cs="Arial"/>
          <w:sz w:val="24"/>
          <w:szCs w:val="24"/>
        </w:rPr>
        <w:t>Segunda etapa: 1961</w:t>
      </w:r>
      <w:r>
        <w:rPr>
          <w:rFonts w:ascii="Arial" w:hAnsi="Arial" w:cs="Arial"/>
          <w:sz w:val="24"/>
          <w:szCs w:val="24"/>
        </w:rPr>
        <w:t>-</w:t>
      </w:r>
      <w:r w:rsidRPr="008C7456">
        <w:rPr>
          <w:rFonts w:ascii="Arial" w:hAnsi="Arial" w:cs="Arial"/>
          <w:sz w:val="24"/>
          <w:szCs w:val="24"/>
        </w:rPr>
        <w:t>19</w:t>
      </w:r>
      <w:r w:rsidRPr="008C7456">
        <w:rPr>
          <w:rFonts w:ascii="Arial" w:hAnsi="Arial" w:cs="Arial"/>
          <w:sz w:val="24"/>
          <w:szCs w:val="24"/>
        </w:rPr>
        <w:t>70.</w:t>
      </w:r>
      <w:r w:rsidRPr="008C7456">
        <w:rPr>
          <w:rFonts w:ascii="Arial" w:hAnsi="Arial" w:cs="Arial"/>
          <w:sz w:val="24"/>
          <w:szCs w:val="24"/>
        </w:rPr>
        <w:br/>
        <w:t xml:space="preserve">Una vez asegurada la supervivencia de la Revolución frente a la invasión mercenaria y la Crisis de Octubre, el sistema político se consolidó como una maquinaria de defensa y construcción del socialismo en condiciones de subdesarrollo y aislamiento. La nota dominante fue la inexistencia de órganos representativos electos a escala nacional; la dirección </w:t>
      </w:r>
      <w:r w:rsidRPr="008C7456">
        <w:rPr>
          <w:rFonts w:ascii="Arial" w:hAnsi="Arial" w:cs="Arial"/>
          <w:sz w:val="24"/>
          <w:szCs w:val="24"/>
        </w:rPr>
        <w:lastRenderedPageBreak/>
        <w:t>revolucionaria mantuvo la capacidad de legislar desde el Consejo de Ministros, algo inédito en otras experiencias socialistas, pero que se justificaba por la necesidad de “asegurar un nivel alto y constante de preparación político</w:t>
      </w:r>
      <w:r w:rsidRPr="008C7456">
        <w:rPr>
          <w:rFonts w:ascii="Arial" w:hAnsi="Arial" w:cs="Arial"/>
          <w:sz w:val="24"/>
          <w:szCs w:val="24"/>
        </w:rPr>
        <w:noBreakHyphen/>
        <w:t>militar de todo el pueblo” ante las continuas agresiones del imperialismo y la contrarrevolución interna (Duharte, 2014).La participación popular no decayó, sino que adoptó formas directas de democracia de masas. Los grandes debates nacionales —como los que precedieron a la adopción de la Ley de Nacionalización de la Enseñanza, o las discusiones de los planes económicos— involucraron a millones de cubanos a través de sus sindicatos, CDR, FMC y la Asociación de Jóvenes Rebeldes (luego Unión de Jóvenes Comunistas). La creación de las Juntas de Coordinación, Ejecución e Inspección (JUCEI) en 1966 y su posterior sustitución por las Administraciones Locales, constituyó un primer intento de descentralizar la gestión estatal y de acercar el poder a la base, en un sistema que ya empezaba a buscar su institucionalización definitiva. Desde la posición marxista, se estaba construyendo una forma específica de dictadura del proletariado que no se agotaba en la mera representación electoral, sino que ensayaba mecanismos de democracia directa y de control obrero, mezclando las funciones ejecutivas y legislativas en aras de la rapidez de respuesta. Fidel insistía en que “la Revolución es obra de las masas” y que la institucionalización no debía convertirse en un freno burocrático, pero reconocía la necesidad de avanzar hacia un sistema de órganos del Poder Popular que diera cauce estable a la participación popular. Ese debate interno, esa tensión creativa entre la movilización y la institución, demuestra palmariamente la condición cambiante y autocrítica del sistema.</w:t>
      </w:r>
    </w:p>
    <w:p w14:paraId="43A2C8A0" w14:textId="67521CBA" w:rsidR="008C7456" w:rsidRPr="008C7456" w:rsidRDefault="008C7456" w:rsidP="008C7456">
      <w:pPr>
        <w:pStyle w:val="Prrafodelista"/>
        <w:numPr>
          <w:ilvl w:val="0"/>
          <w:numId w:val="9"/>
        </w:numPr>
        <w:rPr>
          <w:rFonts w:ascii="Arial" w:hAnsi="Arial" w:cs="Arial"/>
          <w:sz w:val="24"/>
          <w:szCs w:val="24"/>
        </w:rPr>
      </w:pPr>
      <w:r w:rsidRPr="008C7456">
        <w:rPr>
          <w:rFonts w:ascii="Arial" w:hAnsi="Arial" w:cs="Arial"/>
          <w:sz w:val="24"/>
          <w:szCs w:val="24"/>
        </w:rPr>
        <w:t>Tercera etapa: desde mediados de los años 70 (I Congreso del PCC, 1975) hasta inicios de la década del 90.</w:t>
      </w:r>
      <w:r w:rsidRPr="008C7456">
        <w:rPr>
          <w:rFonts w:ascii="Arial" w:hAnsi="Arial" w:cs="Arial"/>
          <w:sz w:val="24"/>
          <w:szCs w:val="24"/>
        </w:rPr>
        <w:br/>
        <w:t xml:space="preserve">Esta etapa representó un salto de institucionalización que los enemigos califican de “esclerosis”, pero que, en realidad, fue la maduración socialista. En 1976 se proclamó la primera Constitución socialista, que creó los órganos del Poder Popular, desde la circunscripción hasta la Asamblea Nacional, bajo el principio del centralismo democrático. Se instauró un sistema electoral periódico, con delegados de circunscripción elegidos por voto directo y secreto, y los demás niveles mediante sufragio indirecto. Este diseño garantizó la participación popular en la selección de los cuadros estatales y en la rendición de cuentas, una práctica que, aun imperfecta, fue </w:t>
      </w:r>
      <w:proofErr w:type="spellStart"/>
      <w:r w:rsidRPr="008C7456">
        <w:rPr>
          <w:rFonts w:ascii="Arial" w:hAnsi="Arial" w:cs="Arial"/>
          <w:sz w:val="24"/>
          <w:szCs w:val="24"/>
        </w:rPr>
        <w:t>perfeccionándose.El</w:t>
      </w:r>
      <w:proofErr w:type="spellEnd"/>
      <w:r w:rsidRPr="008C7456">
        <w:rPr>
          <w:rFonts w:ascii="Arial" w:hAnsi="Arial" w:cs="Arial"/>
          <w:sz w:val="24"/>
          <w:szCs w:val="24"/>
        </w:rPr>
        <w:t xml:space="preserve"> sistema político se dotó de un ordenamiento jurídico coherente: las atribuciones del Partido Comunista de Cuba (fuerza dirigente superior de la sociedad y el Estado), del Estado, de la Unión de Jóvenes Comunistas y de las organizaciones de masas quedaron constitucionalmente definidas, sin que ello significara rigidez, sino un marco para la participación. El PCC celebró su primer congreso en 1975, </w:t>
      </w:r>
      <w:r w:rsidRPr="008C7456">
        <w:rPr>
          <w:rFonts w:ascii="Arial" w:hAnsi="Arial" w:cs="Arial"/>
          <w:sz w:val="24"/>
          <w:szCs w:val="24"/>
        </w:rPr>
        <w:lastRenderedPageBreak/>
        <w:t xml:space="preserve">adoptando una plataforma programática que recogía las aspiraciones de la Revolución y definía la táctica para la construcción del socialismo. La estructura orgánica del Partido se desplegó en todo el país, asegurando la dirección política sin sustituir a las instituciones </w:t>
      </w:r>
      <w:proofErr w:type="spellStart"/>
      <w:proofErr w:type="gramStart"/>
      <w:r w:rsidRPr="008C7456">
        <w:rPr>
          <w:rFonts w:ascii="Arial" w:hAnsi="Arial" w:cs="Arial"/>
          <w:sz w:val="24"/>
          <w:szCs w:val="24"/>
        </w:rPr>
        <w:t>estatales.Desde</w:t>
      </w:r>
      <w:proofErr w:type="spellEnd"/>
      <w:proofErr w:type="gramEnd"/>
      <w:r w:rsidRPr="008C7456">
        <w:rPr>
          <w:rFonts w:ascii="Arial" w:hAnsi="Arial" w:cs="Arial"/>
          <w:sz w:val="24"/>
          <w:szCs w:val="24"/>
        </w:rPr>
        <w:t xml:space="preserve"> la posición marxista, esta etapa significó la superación definitiva del </w:t>
      </w:r>
      <w:proofErr w:type="spellStart"/>
      <w:r w:rsidRPr="008C7456">
        <w:rPr>
          <w:rFonts w:ascii="Arial" w:hAnsi="Arial" w:cs="Arial"/>
          <w:sz w:val="24"/>
          <w:szCs w:val="24"/>
        </w:rPr>
        <w:t>provisionalismo</w:t>
      </w:r>
      <w:proofErr w:type="spellEnd"/>
      <w:r w:rsidRPr="008C7456">
        <w:rPr>
          <w:rFonts w:ascii="Arial" w:hAnsi="Arial" w:cs="Arial"/>
          <w:sz w:val="24"/>
          <w:szCs w:val="24"/>
        </w:rPr>
        <w:t xml:space="preserve"> revolucionario y la conformación de un Estado socialista de derecho. La </w:t>
      </w:r>
      <w:proofErr w:type="gramStart"/>
      <w:r w:rsidRPr="008C7456">
        <w:rPr>
          <w:rFonts w:ascii="Arial" w:hAnsi="Arial" w:cs="Arial"/>
          <w:sz w:val="24"/>
          <w:szCs w:val="24"/>
        </w:rPr>
        <w:t>división político</w:t>
      </w:r>
      <w:proofErr w:type="gramEnd"/>
      <w:r w:rsidRPr="008C7456">
        <w:rPr>
          <w:rFonts w:ascii="Arial" w:hAnsi="Arial" w:cs="Arial"/>
          <w:sz w:val="24"/>
          <w:szCs w:val="24"/>
        </w:rPr>
        <w:noBreakHyphen/>
        <w:t>administrativa en provincias y municipios respondió a criterios de desarrollo económico y defensa. La creación de los Consejos Populares en los años 90, que en realidad se concibió en esta etapa, apuntó a una mayor descentralización y participación comunitaria. Para la mirada martiana, la institucionalización de la república “con todos y para el bien de todos” se materializó en un sistema de poder popular que, sin copiar el parlamentarismo burgués, aseguraba la representación de los distintos sectores sociales en la Asamblea Nacional. Fidel, con su clarividencia, defendió la idea de que “la democracia socialista es la más verdadera y profunda”, y apostó por un sistema que combinara la democracia representativa con la participativa directa, fundamentalmente a través de la rendición de cuentas de los delegados y del control popular. Lejos de ser un esquema inamovible, este período sentó las bases para los cambios posteriores: la propia Constitución sería reformada en 1978, 1992 y 2002, adaptándose a las nuevas realidades.</w:t>
      </w:r>
    </w:p>
    <w:p w14:paraId="3222BFF1" w14:textId="48C21D5E" w:rsidR="008C7456" w:rsidRPr="008C7456" w:rsidRDefault="008C7456" w:rsidP="008C7456">
      <w:pPr>
        <w:pStyle w:val="Prrafodelista"/>
        <w:numPr>
          <w:ilvl w:val="0"/>
          <w:numId w:val="9"/>
        </w:numPr>
        <w:rPr>
          <w:rFonts w:ascii="Arial" w:hAnsi="Arial" w:cs="Arial"/>
          <w:sz w:val="24"/>
          <w:szCs w:val="24"/>
        </w:rPr>
      </w:pPr>
      <w:r w:rsidRPr="008C7456">
        <w:rPr>
          <w:rFonts w:ascii="Arial" w:hAnsi="Arial" w:cs="Arial"/>
          <w:sz w:val="24"/>
          <w:szCs w:val="24"/>
        </w:rPr>
        <w:t>Cuarta etapa: desde inicios de los años 90 (IV Congreso del PCC, 1991) hasta mediados de 2018.</w:t>
      </w:r>
      <w:r w:rsidRPr="008C7456">
        <w:rPr>
          <w:rFonts w:ascii="Arial" w:hAnsi="Arial" w:cs="Arial"/>
          <w:sz w:val="24"/>
          <w:szCs w:val="24"/>
        </w:rPr>
        <w:br/>
        <w:t>La caída del campo socialista europeo y la desaparición de la URSS sumieron a Cuba en una crisis económica sin precedentes, el Período Especial, que amenazó la propia subsistencia del proyecto socialista. En ese contexto de máxima agresión imperialista —recrudeciéndose el bloqueo con leyes como la Torricelli y la Helms</w:t>
      </w:r>
      <w:r w:rsidRPr="008C7456">
        <w:rPr>
          <w:rFonts w:ascii="Arial" w:hAnsi="Arial" w:cs="Arial"/>
          <w:sz w:val="24"/>
          <w:szCs w:val="24"/>
        </w:rPr>
        <w:noBreakHyphen/>
        <w:t>Burton— el sistema político experimentó las transformaciones más profundas desde la institucionalización de los 70, demostrando una extraordinaria capacidad de adaptación sin renunciar a los principios.</w:t>
      </w:r>
      <w:r>
        <w:rPr>
          <w:rFonts w:ascii="Arial" w:hAnsi="Arial" w:cs="Arial"/>
          <w:sz w:val="24"/>
          <w:szCs w:val="24"/>
        </w:rPr>
        <w:t xml:space="preserve"> </w:t>
      </w:r>
      <w:r w:rsidRPr="008C7456">
        <w:rPr>
          <w:rFonts w:ascii="Arial" w:hAnsi="Arial" w:cs="Arial"/>
          <w:sz w:val="24"/>
          <w:szCs w:val="24"/>
        </w:rPr>
        <w:t xml:space="preserve">El IV Congreso del Partido, en 1991, introdujo cambios estructurales y funcionales de gran calado: se eliminaron los comités ejecutivos provinciales y municipales de los órganos del Poder Popular, reforzando el papel de los delegados de base y la autonomía municipal; se simplificaron las estructuras partidistas, fusionando departamentos y reduciendo personal; se autorizó el ingreso de creyentes al PCC, superando dogmatismos, en un gesto de amplitud fidelista que recogía el espíritu marciano de unidad nacional; se reformó la Constitución en 1992 para incluir, entre otras cuestiones, el carácter laico del Estado, nuevas formas de propiedad (empresas mixtas, sociedades mercantiles) y la elección directa de los delegados a las asambleas provinciales y nacionales (aunque esta última todavía mediante el voto de los delegados de base). Se produjo, además, un proceso de revitalización de las </w:t>
      </w:r>
      <w:r w:rsidRPr="008C7456">
        <w:rPr>
          <w:rFonts w:ascii="Arial" w:hAnsi="Arial" w:cs="Arial"/>
          <w:sz w:val="24"/>
          <w:szCs w:val="24"/>
        </w:rPr>
        <w:lastRenderedPageBreak/>
        <w:t>asambleas de rendición de cuentas y de los consejos populares, que vieron ampliadas sus funciones como espacios de participación comunitaria.</w:t>
      </w:r>
      <w:r>
        <w:rPr>
          <w:rFonts w:ascii="Arial" w:hAnsi="Arial" w:cs="Arial"/>
          <w:sz w:val="24"/>
          <w:szCs w:val="24"/>
        </w:rPr>
        <w:t xml:space="preserve">        </w:t>
      </w:r>
      <w:r w:rsidRPr="008C7456">
        <w:rPr>
          <w:rFonts w:ascii="Arial" w:hAnsi="Arial" w:cs="Arial"/>
          <w:sz w:val="24"/>
          <w:szCs w:val="24"/>
        </w:rPr>
        <w:t>El VI Congreso del PCC, en 2011, tras un masivo debate popular de los Lineamientos de la Política Económica y Social, aprobó 311 directrices que implicaban una actualización del modelo económico y, necesariamente, reformas políticas. Se acordó el perfeccionamiento de los órganos del Poder Popular, el sistema electoral y la división político</w:t>
      </w:r>
      <w:r w:rsidRPr="008C7456">
        <w:rPr>
          <w:rFonts w:ascii="Arial" w:hAnsi="Arial" w:cs="Arial"/>
          <w:sz w:val="24"/>
          <w:szCs w:val="24"/>
        </w:rPr>
        <w:noBreakHyphen/>
        <w:t>administrativa. La Primera Conferencia Nacional del Partido, en 2012, estableció los “Objetivos de trabajo” que redefinieron el papel del Partido, enfatizando su carácter de vanguardia política, su deslinde de las funciones administrativas y la necesidad de un diálogo permanente con la sociedad civil socialista. El VII Congreso, en 2016, aprobó la Conceptualización del Modelo Económico y Social Cubano de Desarrollo Socialista, las Bases del Plan Nacional de Desarrollo hasta 2030 y actualizó los Lineamientos para el período 2016</w:t>
      </w:r>
      <w:r w:rsidRPr="008C7456">
        <w:rPr>
          <w:rFonts w:ascii="Arial" w:hAnsi="Arial" w:cs="Arial"/>
          <w:sz w:val="24"/>
          <w:szCs w:val="24"/>
        </w:rPr>
        <w:noBreakHyphen/>
        <w:t xml:space="preserve">2021. Estos documentos no fueron imposiciones cupulares: fueron sometidos a debate popular y respaldados por el Parlamento, en un ejercicio de legitimidad </w:t>
      </w:r>
      <w:proofErr w:type="spellStart"/>
      <w:r w:rsidRPr="008C7456">
        <w:rPr>
          <w:rFonts w:ascii="Arial" w:hAnsi="Arial" w:cs="Arial"/>
          <w:sz w:val="24"/>
          <w:szCs w:val="24"/>
        </w:rPr>
        <w:t>democrática.La</w:t>
      </w:r>
      <w:proofErr w:type="spellEnd"/>
      <w:r w:rsidRPr="008C7456">
        <w:rPr>
          <w:rFonts w:ascii="Arial" w:hAnsi="Arial" w:cs="Arial"/>
          <w:sz w:val="24"/>
          <w:szCs w:val="24"/>
        </w:rPr>
        <w:t xml:space="preserve"> sucesión de la dirección histórica el traspaso de responsabilidades de Fidel a Raúl en 2006</w:t>
      </w:r>
      <w:r w:rsidRPr="008C7456">
        <w:rPr>
          <w:rFonts w:ascii="Arial" w:hAnsi="Arial" w:cs="Arial"/>
          <w:sz w:val="24"/>
          <w:szCs w:val="24"/>
        </w:rPr>
        <w:noBreakHyphen/>
        <w:t>2008, los cambios en los métodos y estilos de trabajo, la revitalización de la Asamblea Nacional como auténtico parlamento obrero, la limitación a un máximo de dos períodos de cinco años para los cargos políticos fundamentales del Estado y el Partido (inaugurada con la nueva Constitución), son evidencias inobjetables de la renovación del sistema. Desde la posición marxista, estamos ante una readaptación de la superestructura política a las nuevas condiciones de la base económica, que transitaba del modelo de planificación centralizada a uno que reconoce y regula el mercado en función del plan, bajo la hegemonía de la propiedad socialista de todo el pueblo. Desde la óptica martiana, estas reformas actualizaron la república justa y soberana, capaz de sostenerse con recursos propios sin perder el alma. Desde el fidelismo, se cumplía el mandato de “cambiar todo lo que debe ser cambiado”, siempre con la brújula de la igualdad, la justicia social y la participación popular. Quienes hablan de inmovilismo no pueden explicar cómo un sistema que “supuestamente no cambia” fue capaz de sobrevivir a la desaparición de la URSS, reinsertarse en la economía internacional y sostener, incluso, la discusión de su propio modelo.</w:t>
      </w:r>
    </w:p>
    <w:p w14:paraId="6A4E3C5B" w14:textId="4A10BA9F" w:rsidR="008C7456" w:rsidRPr="008C7456" w:rsidRDefault="008C7456" w:rsidP="008C7456">
      <w:pPr>
        <w:pStyle w:val="Prrafodelista"/>
        <w:numPr>
          <w:ilvl w:val="0"/>
          <w:numId w:val="9"/>
        </w:numPr>
        <w:jc w:val="both"/>
        <w:rPr>
          <w:rFonts w:ascii="Arial" w:hAnsi="Arial" w:cs="Arial"/>
          <w:sz w:val="24"/>
          <w:szCs w:val="24"/>
        </w:rPr>
      </w:pPr>
      <w:r w:rsidRPr="008C7456">
        <w:rPr>
          <w:rFonts w:ascii="Arial" w:hAnsi="Arial" w:cs="Arial"/>
          <w:sz w:val="24"/>
          <w:szCs w:val="24"/>
        </w:rPr>
        <w:t>Quinta etapa: desde mediados de 2018 e inicios de 2019 hasta la actualidad.</w:t>
      </w:r>
      <w:r w:rsidRPr="008C7456">
        <w:rPr>
          <w:rFonts w:ascii="Arial" w:hAnsi="Arial" w:cs="Arial"/>
          <w:sz w:val="24"/>
          <w:szCs w:val="24"/>
        </w:rPr>
        <w:br/>
        <w:t xml:space="preserve">Si las etapas anteriores fueron de formación, consolidación, institucionalización y reformas en condiciones de crisis extrema, la quinta etapa constituye un salto cualitativo en la propia esencia del sistema político: la refundación constitucional y la profundización de la democracia socialista mediante una nueva Carta Magna, cuyo proceso de elaboración es ya un hito en la historia política del país. Se modificó la estructura del Estado: se reinstauraron los cargos de </w:t>
      </w:r>
      <w:proofErr w:type="gramStart"/>
      <w:r w:rsidRPr="008C7456">
        <w:rPr>
          <w:rFonts w:ascii="Arial" w:hAnsi="Arial" w:cs="Arial"/>
          <w:sz w:val="24"/>
          <w:szCs w:val="24"/>
        </w:rPr>
        <w:t>Presidente</w:t>
      </w:r>
      <w:proofErr w:type="gramEnd"/>
      <w:r w:rsidRPr="008C7456">
        <w:rPr>
          <w:rFonts w:ascii="Arial" w:hAnsi="Arial" w:cs="Arial"/>
          <w:sz w:val="24"/>
          <w:szCs w:val="24"/>
        </w:rPr>
        <w:t xml:space="preserve"> de la República y </w:t>
      </w:r>
      <w:proofErr w:type="gramStart"/>
      <w:r w:rsidRPr="008C7456">
        <w:rPr>
          <w:rFonts w:ascii="Arial" w:hAnsi="Arial" w:cs="Arial"/>
          <w:sz w:val="24"/>
          <w:szCs w:val="24"/>
        </w:rPr>
        <w:t>Primer Ministro</w:t>
      </w:r>
      <w:proofErr w:type="gramEnd"/>
      <w:r w:rsidRPr="008C7456">
        <w:rPr>
          <w:rFonts w:ascii="Arial" w:hAnsi="Arial" w:cs="Arial"/>
          <w:sz w:val="24"/>
          <w:szCs w:val="24"/>
        </w:rPr>
        <w:t xml:space="preserve">, </w:t>
      </w:r>
      <w:r w:rsidRPr="008C7456">
        <w:rPr>
          <w:rFonts w:ascii="Arial" w:hAnsi="Arial" w:cs="Arial"/>
          <w:sz w:val="24"/>
          <w:szCs w:val="24"/>
        </w:rPr>
        <w:lastRenderedPageBreak/>
        <w:t xml:space="preserve">separando las funciones de jefatura del Estado y del Gobierno, antes unificadas en el </w:t>
      </w:r>
      <w:proofErr w:type="gramStart"/>
      <w:r w:rsidRPr="008C7456">
        <w:rPr>
          <w:rFonts w:ascii="Arial" w:hAnsi="Arial" w:cs="Arial"/>
          <w:sz w:val="24"/>
          <w:szCs w:val="24"/>
        </w:rPr>
        <w:t>Presidente</w:t>
      </w:r>
      <w:proofErr w:type="gramEnd"/>
      <w:r w:rsidRPr="008C7456">
        <w:rPr>
          <w:rFonts w:ascii="Arial" w:hAnsi="Arial" w:cs="Arial"/>
          <w:sz w:val="24"/>
          <w:szCs w:val="24"/>
        </w:rPr>
        <w:t xml:space="preserve"> del Consejo de Estado y de </w:t>
      </w:r>
      <w:proofErr w:type="gramStart"/>
      <w:r w:rsidRPr="008C7456">
        <w:rPr>
          <w:rFonts w:ascii="Arial" w:hAnsi="Arial" w:cs="Arial"/>
          <w:sz w:val="24"/>
          <w:szCs w:val="24"/>
        </w:rPr>
        <w:t>Ministros</w:t>
      </w:r>
      <w:proofErr w:type="gramEnd"/>
      <w:r w:rsidRPr="008C7456">
        <w:rPr>
          <w:rFonts w:ascii="Arial" w:hAnsi="Arial" w:cs="Arial"/>
          <w:sz w:val="24"/>
          <w:szCs w:val="24"/>
        </w:rPr>
        <w:t>. El Consejo de Estado pierde las funciones legislativas, que pasan a manos del Consejo de Estado como órgano permanente de la Asamblea Nacional. Se fortalece la autonomía municipal, reconociendo al municipio como la unidad primaria de la organización territorial. Se incluyen expresamente los principios de Estado socialista de derecho, de democracia, de igualdad y no discriminación, de participación popular, de garantía de los derechos humanos en su integralidad y se amplía el catálogo de derechos. Se reconoce la propiedad privada y el mercado, bajo regulación estatal y en función del plan, como parte del modelo económico socialista. Se reafirma el papel del Partido Comunista de Cuba como fuerza dirigente superior de la sociedad y el Estado, pero en un marco de mayor claridad jurídica y democrática. Se constitucionaliza la limitación de mandatos para los cargos superiores.</w:t>
      </w:r>
    </w:p>
    <w:p w14:paraId="566E5C9A" w14:textId="7ED43BB3" w:rsidR="008C7456" w:rsidRPr="008C7456" w:rsidRDefault="008C7456" w:rsidP="008C7456">
      <w:pPr>
        <w:jc w:val="both"/>
        <w:rPr>
          <w:rFonts w:ascii="Arial" w:hAnsi="Arial" w:cs="Arial"/>
          <w:sz w:val="24"/>
          <w:szCs w:val="24"/>
        </w:rPr>
      </w:pPr>
      <w:r w:rsidRPr="008C7456">
        <w:rPr>
          <w:rFonts w:ascii="Arial" w:hAnsi="Arial" w:cs="Arial"/>
          <w:sz w:val="24"/>
          <w:szCs w:val="24"/>
        </w:rPr>
        <w:t xml:space="preserve">La aprobación de la Constitución de 2019 no fue el final del proceso, sino el pistoletazo de salida para una vasta producción legislativa, que incluye leyes tan trascendentales como el Código de las Familias (sometido a referendo y aprobado masivamente en 2022), la Ley de Organización y Funcionamiento del Gobierno Provincial, la Ley del Sistema Electoral, la Ley de Soberanía Alimentaria y Seguridad Alimentaria y Nutricional, entre otras, todas precedidas de consultas y participación ciudadana. </w:t>
      </w:r>
    </w:p>
    <w:p w14:paraId="7EAF9E83" w14:textId="1A763ECF" w:rsidR="008C7456" w:rsidRPr="008C7456" w:rsidRDefault="008C7456" w:rsidP="008C7456">
      <w:pPr>
        <w:jc w:val="center"/>
        <w:rPr>
          <w:rFonts w:ascii="Arial" w:hAnsi="Arial" w:cs="Arial"/>
          <w:b/>
          <w:bCs/>
          <w:sz w:val="24"/>
          <w:szCs w:val="24"/>
          <w:u w:val="single"/>
        </w:rPr>
      </w:pPr>
      <w:r w:rsidRPr="008C7456">
        <w:rPr>
          <w:rFonts w:ascii="Arial" w:hAnsi="Arial" w:cs="Arial"/>
          <w:b/>
          <w:bCs/>
          <w:sz w:val="24"/>
          <w:szCs w:val="24"/>
          <w:u w:val="single"/>
        </w:rPr>
        <w:t>Conclusiones</w:t>
      </w:r>
    </w:p>
    <w:p w14:paraId="3261167B" w14:textId="77777777" w:rsidR="008C7456" w:rsidRPr="008C7456" w:rsidRDefault="008C7456" w:rsidP="008C7456">
      <w:pPr>
        <w:jc w:val="both"/>
        <w:rPr>
          <w:rFonts w:ascii="Arial" w:hAnsi="Arial" w:cs="Arial"/>
          <w:sz w:val="24"/>
          <w:szCs w:val="24"/>
        </w:rPr>
      </w:pPr>
      <w:r w:rsidRPr="008C7456">
        <w:rPr>
          <w:rFonts w:ascii="Arial" w:hAnsi="Arial" w:cs="Arial"/>
          <w:sz w:val="24"/>
          <w:szCs w:val="24"/>
        </w:rPr>
        <w:t>Al término de este recorrido, queda científicamente demostrado que el sistema político cubano es un órgano complejo y cambiante, en las antípodas del inmovilismo que le atribuyen nuestros adversarios. Las posiciones marxista, martiana y fidelista, lejos de ser consignas vacías, han sido las herramientas de análisis y las guías prácticas que han permitido a la Revolución transitar de una etapa a otra sin fracturas, preservando la continuidad del proyecto socialista.</w:t>
      </w:r>
    </w:p>
    <w:p w14:paraId="51A82F25" w14:textId="77777777" w:rsidR="008C7456" w:rsidRPr="008C7456" w:rsidRDefault="008C7456" w:rsidP="008C7456">
      <w:pPr>
        <w:jc w:val="both"/>
        <w:rPr>
          <w:rFonts w:ascii="Arial" w:hAnsi="Arial" w:cs="Arial"/>
          <w:sz w:val="24"/>
          <w:szCs w:val="24"/>
        </w:rPr>
      </w:pPr>
      <w:r w:rsidRPr="008C7456">
        <w:rPr>
          <w:rFonts w:ascii="Arial" w:hAnsi="Arial" w:cs="Arial"/>
          <w:sz w:val="24"/>
          <w:szCs w:val="24"/>
        </w:rPr>
        <w:t>El marxismo nos ha enseñado que el sistema político es expresión de la base material y que, por tanto, debe transformarse cuando las condiciones económicas y sociales lo exigen. Así lo hicimos al pasar de la provisionalidad de los años 60 a la institucionalización de los 70, y de esta al modelo de reformas de los 90 y a la refundación constitucional de 2018. El pensamiento martiano ha sido el cemento espiritual que ha mantenido la unidad nacional y la vocación antiimperialista, condensada en el principio de que no puede haber república democrática sin soberanía y sin justicia social, lo cual recorre las cinco etapas. El pensamiento fidelista es la síntesis creadora: la capacidad de rectificar a tiempo, de escuchar al pueblo, de no aferrarse a esquemas cuando la realidad los desborda, de hacer de la participación popular la fuente de toda legitimidad.</w:t>
      </w:r>
    </w:p>
    <w:p w14:paraId="0ECF50F9" w14:textId="4D0EF7D8" w:rsidR="008C7456" w:rsidRPr="008C7456" w:rsidRDefault="008C7456" w:rsidP="008C7456">
      <w:pPr>
        <w:jc w:val="both"/>
        <w:rPr>
          <w:rFonts w:ascii="Arial" w:hAnsi="Arial" w:cs="Arial"/>
          <w:sz w:val="24"/>
          <w:szCs w:val="24"/>
        </w:rPr>
      </w:pPr>
    </w:p>
    <w:p w14:paraId="42621C40" w14:textId="77777777" w:rsidR="008C7456" w:rsidRPr="008C7456" w:rsidRDefault="008C7456" w:rsidP="008C7456">
      <w:pPr>
        <w:jc w:val="both"/>
        <w:rPr>
          <w:rFonts w:ascii="Arial" w:hAnsi="Arial" w:cs="Arial"/>
          <w:sz w:val="24"/>
          <w:szCs w:val="24"/>
        </w:rPr>
      </w:pPr>
      <w:r w:rsidRPr="008C7456">
        <w:rPr>
          <w:rFonts w:ascii="Arial" w:hAnsi="Arial" w:cs="Arial"/>
          <w:sz w:val="24"/>
          <w:szCs w:val="24"/>
        </w:rPr>
        <w:lastRenderedPageBreak/>
        <w:t>Bibliografía consultada (selección)</w:t>
      </w:r>
    </w:p>
    <w:p w14:paraId="48E29B24" w14:textId="77777777" w:rsidR="008C7456" w:rsidRPr="008C7456" w:rsidRDefault="008C7456" w:rsidP="008C7456">
      <w:pPr>
        <w:numPr>
          <w:ilvl w:val="0"/>
          <w:numId w:val="7"/>
        </w:numPr>
        <w:jc w:val="both"/>
        <w:rPr>
          <w:rFonts w:ascii="Arial" w:hAnsi="Arial" w:cs="Arial"/>
          <w:sz w:val="24"/>
          <w:szCs w:val="24"/>
        </w:rPr>
      </w:pPr>
      <w:r w:rsidRPr="008C7456">
        <w:rPr>
          <w:rFonts w:ascii="Arial" w:hAnsi="Arial" w:cs="Arial"/>
          <w:sz w:val="24"/>
          <w:szCs w:val="24"/>
        </w:rPr>
        <w:t>Castro Ruz, F. (2000). Concepto de Revolución, 1º de mayo de 2000.</w:t>
      </w:r>
    </w:p>
    <w:p w14:paraId="38669064" w14:textId="77777777" w:rsidR="008C7456" w:rsidRPr="008C7456" w:rsidRDefault="008C7456" w:rsidP="008C7456">
      <w:pPr>
        <w:numPr>
          <w:ilvl w:val="0"/>
          <w:numId w:val="7"/>
        </w:numPr>
        <w:jc w:val="both"/>
        <w:rPr>
          <w:rFonts w:ascii="Arial" w:hAnsi="Arial" w:cs="Arial"/>
          <w:sz w:val="24"/>
          <w:szCs w:val="24"/>
        </w:rPr>
      </w:pPr>
      <w:r w:rsidRPr="008C7456">
        <w:rPr>
          <w:rFonts w:ascii="Arial" w:hAnsi="Arial" w:cs="Arial"/>
          <w:sz w:val="24"/>
          <w:szCs w:val="24"/>
        </w:rPr>
        <w:t>Castro Ruz, R. (2018). Discurso en la clausura de la sesión constitutiva de la IX Legislatura de la ANPP.</w:t>
      </w:r>
    </w:p>
    <w:p w14:paraId="51BE1DC6" w14:textId="77777777" w:rsidR="008C7456" w:rsidRPr="008C7456" w:rsidRDefault="008C7456" w:rsidP="008C7456">
      <w:pPr>
        <w:numPr>
          <w:ilvl w:val="0"/>
          <w:numId w:val="7"/>
        </w:numPr>
        <w:jc w:val="both"/>
        <w:rPr>
          <w:rFonts w:ascii="Arial" w:hAnsi="Arial" w:cs="Arial"/>
          <w:sz w:val="24"/>
          <w:szCs w:val="24"/>
        </w:rPr>
      </w:pPr>
      <w:r w:rsidRPr="008C7456">
        <w:rPr>
          <w:rFonts w:ascii="Arial" w:hAnsi="Arial" w:cs="Arial"/>
          <w:sz w:val="24"/>
          <w:szCs w:val="24"/>
        </w:rPr>
        <w:t>Constitución de la República de Cuba (2019).</w:t>
      </w:r>
    </w:p>
    <w:p w14:paraId="05891FC8" w14:textId="77777777" w:rsidR="008C7456" w:rsidRPr="008C7456" w:rsidRDefault="008C7456" w:rsidP="008C7456">
      <w:pPr>
        <w:numPr>
          <w:ilvl w:val="0"/>
          <w:numId w:val="7"/>
        </w:numPr>
        <w:jc w:val="both"/>
        <w:rPr>
          <w:rFonts w:ascii="Arial" w:hAnsi="Arial" w:cs="Arial"/>
          <w:sz w:val="24"/>
          <w:szCs w:val="24"/>
        </w:rPr>
      </w:pPr>
      <w:r w:rsidRPr="008C7456">
        <w:rPr>
          <w:rFonts w:ascii="Arial" w:hAnsi="Arial" w:cs="Arial"/>
          <w:sz w:val="24"/>
          <w:szCs w:val="24"/>
        </w:rPr>
        <w:t>Duharte Díaz, E. (2021). Sistema Político Cubano. Un nuevo acercamiento a su periodización. Universidad de La Habana, material inédito.</w:t>
      </w:r>
    </w:p>
    <w:p w14:paraId="7894EFE1" w14:textId="77777777" w:rsidR="008C7456" w:rsidRPr="008C7456" w:rsidRDefault="008C7456" w:rsidP="008C7456">
      <w:pPr>
        <w:numPr>
          <w:ilvl w:val="0"/>
          <w:numId w:val="7"/>
        </w:numPr>
        <w:jc w:val="both"/>
        <w:rPr>
          <w:rFonts w:ascii="Arial" w:hAnsi="Arial" w:cs="Arial"/>
          <w:sz w:val="24"/>
          <w:szCs w:val="24"/>
        </w:rPr>
      </w:pPr>
      <w:r w:rsidRPr="008C7456">
        <w:rPr>
          <w:rFonts w:ascii="Arial" w:hAnsi="Arial" w:cs="Arial"/>
          <w:sz w:val="24"/>
          <w:szCs w:val="24"/>
        </w:rPr>
        <w:t>Duharte Díaz, E. (</w:t>
      </w:r>
      <w:proofErr w:type="spellStart"/>
      <w:r w:rsidRPr="008C7456">
        <w:rPr>
          <w:rFonts w:ascii="Arial" w:hAnsi="Arial" w:cs="Arial"/>
          <w:sz w:val="24"/>
          <w:szCs w:val="24"/>
        </w:rPr>
        <w:t>comp.</w:t>
      </w:r>
      <w:proofErr w:type="spellEnd"/>
      <w:r w:rsidRPr="008C7456">
        <w:rPr>
          <w:rFonts w:ascii="Arial" w:hAnsi="Arial" w:cs="Arial"/>
          <w:sz w:val="24"/>
          <w:szCs w:val="24"/>
        </w:rPr>
        <w:t>). (2014). Teoría y Procesos Políticos Contemporáneos, Tomos I y II. Editorial Félix Varela.</w:t>
      </w:r>
    </w:p>
    <w:p w14:paraId="5DE9994A" w14:textId="77777777" w:rsidR="008C7456" w:rsidRPr="008C7456" w:rsidRDefault="008C7456" w:rsidP="008C7456">
      <w:pPr>
        <w:numPr>
          <w:ilvl w:val="0"/>
          <w:numId w:val="7"/>
        </w:numPr>
        <w:jc w:val="both"/>
        <w:rPr>
          <w:rFonts w:ascii="Arial" w:hAnsi="Arial" w:cs="Arial"/>
          <w:sz w:val="24"/>
          <w:szCs w:val="24"/>
        </w:rPr>
      </w:pPr>
      <w:r w:rsidRPr="008C7456">
        <w:rPr>
          <w:rFonts w:ascii="Arial" w:hAnsi="Arial" w:cs="Arial"/>
          <w:sz w:val="24"/>
          <w:szCs w:val="24"/>
        </w:rPr>
        <w:t>Marx, C. (1859). “Prólogo de la Contribución a la Crítica de la Economía Política”.</w:t>
      </w:r>
    </w:p>
    <w:p w14:paraId="65AAA125" w14:textId="77777777" w:rsidR="008C7456" w:rsidRPr="008C7456" w:rsidRDefault="008C7456" w:rsidP="008C7456">
      <w:pPr>
        <w:numPr>
          <w:ilvl w:val="0"/>
          <w:numId w:val="7"/>
        </w:numPr>
        <w:jc w:val="both"/>
        <w:rPr>
          <w:rFonts w:ascii="Arial" w:hAnsi="Arial" w:cs="Arial"/>
          <w:sz w:val="24"/>
          <w:szCs w:val="24"/>
        </w:rPr>
      </w:pPr>
      <w:r w:rsidRPr="008C7456">
        <w:rPr>
          <w:rFonts w:ascii="Arial" w:hAnsi="Arial" w:cs="Arial"/>
          <w:sz w:val="24"/>
          <w:szCs w:val="24"/>
        </w:rPr>
        <w:t>Martí, J. (1891). “Nuestra América”.</w:t>
      </w:r>
    </w:p>
    <w:p w14:paraId="5DF4EC8B" w14:textId="77777777" w:rsidR="008C7456" w:rsidRPr="008C7456" w:rsidRDefault="008C7456" w:rsidP="008C7456">
      <w:pPr>
        <w:numPr>
          <w:ilvl w:val="0"/>
          <w:numId w:val="7"/>
        </w:numPr>
        <w:jc w:val="both"/>
        <w:rPr>
          <w:rFonts w:ascii="Arial" w:hAnsi="Arial" w:cs="Arial"/>
          <w:sz w:val="24"/>
          <w:szCs w:val="24"/>
        </w:rPr>
      </w:pPr>
      <w:r w:rsidRPr="008C7456">
        <w:rPr>
          <w:rFonts w:ascii="Arial" w:hAnsi="Arial" w:cs="Arial"/>
          <w:sz w:val="24"/>
          <w:szCs w:val="24"/>
        </w:rPr>
        <w:t>Alzugaray Treto, C. (2009). “Cuba cincuenta años después: continuidad y cambio político”, Revista Temas, n. 60.</w:t>
      </w:r>
    </w:p>
    <w:p w14:paraId="1823841D" w14:textId="77777777" w:rsidR="008C7456" w:rsidRPr="008C7456" w:rsidRDefault="008C7456" w:rsidP="008C7456">
      <w:pPr>
        <w:numPr>
          <w:ilvl w:val="0"/>
          <w:numId w:val="7"/>
        </w:numPr>
        <w:jc w:val="both"/>
        <w:rPr>
          <w:rFonts w:ascii="Arial" w:hAnsi="Arial" w:cs="Arial"/>
          <w:sz w:val="24"/>
          <w:szCs w:val="24"/>
        </w:rPr>
      </w:pPr>
      <w:r w:rsidRPr="008C7456">
        <w:rPr>
          <w:rFonts w:ascii="Arial" w:hAnsi="Arial" w:cs="Arial"/>
          <w:sz w:val="24"/>
          <w:szCs w:val="24"/>
        </w:rPr>
        <w:t>PCC. (2011). Lineamientos de la Política Económica y Social.</w:t>
      </w:r>
    </w:p>
    <w:p w14:paraId="25900A6E" w14:textId="77777777" w:rsidR="008C7456" w:rsidRPr="008C7456" w:rsidRDefault="008C7456" w:rsidP="008C7456">
      <w:pPr>
        <w:numPr>
          <w:ilvl w:val="0"/>
          <w:numId w:val="7"/>
        </w:numPr>
        <w:jc w:val="both"/>
        <w:rPr>
          <w:rFonts w:ascii="Arial" w:hAnsi="Arial" w:cs="Arial"/>
          <w:sz w:val="24"/>
          <w:szCs w:val="24"/>
        </w:rPr>
      </w:pPr>
      <w:r w:rsidRPr="008C7456">
        <w:rPr>
          <w:rFonts w:ascii="Arial" w:hAnsi="Arial" w:cs="Arial"/>
          <w:sz w:val="24"/>
          <w:szCs w:val="24"/>
        </w:rPr>
        <w:t>PCC. (2012). Objetivos de Trabajo de la Primera Conferencia Nacional.</w:t>
      </w:r>
    </w:p>
    <w:p w14:paraId="21ECD2CA" w14:textId="77777777" w:rsidR="008C7456" w:rsidRPr="008C7456" w:rsidRDefault="008C7456" w:rsidP="008C7456">
      <w:pPr>
        <w:numPr>
          <w:ilvl w:val="0"/>
          <w:numId w:val="7"/>
        </w:numPr>
        <w:jc w:val="both"/>
        <w:rPr>
          <w:rFonts w:ascii="Arial" w:hAnsi="Arial" w:cs="Arial"/>
          <w:sz w:val="24"/>
          <w:szCs w:val="24"/>
        </w:rPr>
      </w:pPr>
      <w:r w:rsidRPr="008C7456">
        <w:rPr>
          <w:rFonts w:ascii="Arial" w:hAnsi="Arial" w:cs="Arial"/>
          <w:sz w:val="24"/>
          <w:szCs w:val="24"/>
        </w:rPr>
        <w:t>PCC. (2017). Conceptualización del Modelo Económico y Social Cubano de Desarrollo Socialista.</w:t>
      </w:r>
    </w:p>
    <w:p w14:paraId="4DF75C9A" w14:textId="48D0C298" w:rsidR="004E3681" w:rsidRPr="008C7456" w:rsidRDefault="008C7456" w:rsidP="008C7456">
      <w:pPr>
        <w:pStyle w:val="Prrafodelista"/>
        <w:numPr>
          <w:ilvl w:val="0"/>
          <w:numId w:val="7"/>
        </w:numPr>
        <w:jc w:val="both"/>
        <w:rPr>
          <w:rFonts w:ascii="Arial" w:hAnsi="Arial" w:cs="Arial"/>
          <w:sz w:val="24"/>
          <w:szCs w:val="24"/>
        </w:rPr>
      </w:pPr>
      <w:r w:rsidRPr="008C7456">
        <w:rPr>
          <w:rFonts w:ascii="Arial" w:hAnsi="Arial" w:cs="Arial"/>
          <w:sz w:val="24"/>
          <w:szCs w:val="24"/>
        </w:rPr>
        <w:t xml:space="preserve">Herramientas de Inteligencia Artificial para el apoyo y la concepción del trabajo utilizadas </w:t>
      </w:r>
      <w:proofErr w:type="spellStart"/>
      <w:r w:rsidRPr="008C7456">
        <w:rPr>
          <w:rFonts w:ascii="Arial" w:hAnsi="Arial" w:cs="Arial"/>
          <w:sz w:val="24"/>
          <w:szCs w:val="24"/>
        </w:rPr>
        <w:t>Perplexity</w:t>
      </w:r>
      <w:proofErr w:type="spellEnd"/>
      <w:r w:rsidRPr="008C7456">
        <w:rPr>
          <w:rFonts w:ascii="Arial" w:hAnsi="Arial" w:cs="Arial"/>
          <w:sz w:val="24"/>
          <w:szCs w:val="24"/>
        </w:rPr>
        <w:t xml:space="preserve"> para investigaciones </w:t>
      </w:r>
      <w:proofErr w:type="spellStart"/>
      <w:r w:rsidRPr="008C7456">
        <w:rPr>
          <w:rFonts w:ascii="Arial" w:hAnsi="Arial" w:cs="Arial"/>
          <w:sz w:val="24"/>
          <w:szCs w:val="24"/>
        </w:rPr>
        <w:t>Deepseek</w:t>
      </w:r>
      <w:proofErr w:type="spellEnd"/>
      <w:r w:rsidRPr="008C7456">
        <w:rPr>
          <w:rFonts w:ascii="Arial" w:hAnsi="Arial" w:cs="Arial"/>
          <w:sz w:val="24"/>
          <w:szCs w:val="24"/>
        </w:rPr>
        <w:t xml:space="preserve"> para referencias y apoyo en la </w:t>
      </w:r>
      <w:proofErr w:type="spellStart"/>
      <w:r w:rsidRPr="008C7456">
        <w:rPr>
          <w:rFonts w:ascii="Arial" w:hAnsi="Arial" w:cs="Arial"/>
          <w:sz w:val="24"/>
          <w:szCs w:val="24"/>
        </w:rPr>
        <w:t>redaccion</w:t>
      </w:r>
      <w:proofErr w:type="spellEnd"/>
    </w:p>
    <w:sectPr w:rsidR="004E3681" w:rsidRPr="008C745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3319E"/>
    <w:multiLevelType w:val="multilevel"/>
    <w:tmpl w:val="7D662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954A93"/>
    <w:multiLevelType w:val="multilevel"/>
    <w:tmpl w:val="7750A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CD3793"/>
    <w:multiLevelType w:val="multilevel"/>
    <w:tmpl w:val="5EC07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24560E"/>
    <w:multiLevelType w:val="multilevel"/>
    <w:tmpl w:val="4ED8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AE161A"/>
    <w:multiLevelType w:val="multilevel"/>
    <w:tmpl w:val="5EC07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D55031"/>
    <w:multiLevelType w:val="multilevel"/>
    <w:tmpl w:val="79BA3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5D055C2"/>
    <w:multiLevelType w:val="multilevel"/>
    <w:tmpl w:val="5EC07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AA4FAE"/>
    <w:multiLevelType w:val="multilevel"/>
    <w:tmpl w:val="3CAC2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725AC2"/>
    <w:multiLevelType w:val="multilevel"/>
    <w:tmpl w:val="0C6CF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8360424">
    <w:abstractNumId w:val="0"/>
  </w:num>
  <w:num w:numId="2" w16cid:durableId="821236308">
    <w:abstractNumId w:val="8"/>
  </w:num>
  <w:num w:numId="3" w16cid:durableId="1281297034">
    <w:abstractNumId w:val="7"/>
  </w:num>
  <w:num w:numId="4" w16cid:durableId="1515150412">
    <w:abstractNumId w:val="5"/>
  </w:num>
  <w:num w:numId="5" w16cid:durableId="1073620474">
    <w:abstractNumId w:val="3"/>
  </w:num>
  <w:num w:numId="6" w16cid:durableId="1586186245">
    <w:abstractNumId w:val="1"/>
  </w:num>
  <w:num w:numId="7" w16cid:durableId="1216042985">
    <w:abstractNumId w:val="6"/>
  </w:num>
  <w:num w:numId="8" w16cid:durableId="593056547">
    <w:abstractNumId w:val="4"/>
  </w:num>
  <w:num w:numId="9" w16cid:durableId="13667093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6C0"/>
    <w:rsid w:val="000460BA"/>
    <w:rsid w:val="00097717"/>
    <w:rsid w:val="00123EC8"/>
    <w:rsid w:val="001B3A1B"/>
    <w:rsid w:val="002D62E8"/>
    <w:rsid w:val="003C572D"/>
    <w:rsid w:val="00487131"/>
    <w:rsid w:val="004E3681"/>
    <w:rsid w:val="00530E23"/>
    <w:rsid w:val="006576C0"/>
    <w:rsid w:val="00732706"/>
    <w:rsid w:val="007467FD"/>
    <w:rsid w:val="007E4BA9"/>
    <w:rsid w:val="008A0046"/>
    <w:rsid w:val="008A577A"/>
    <w:rsid w:val="008C7456"/>
    <w:rsid w:val="00B63C34"/>
    <w:rsid w:val="00E57FE1"/>
    <w:rsid w:val="00EA3394"/>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37008"/>
  <w15:chartTrackingRefBased/>
  <w15:docId w15:val="{67A85F3D-5D3B-4969-89AB-FE9DE85110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576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6576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6576C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6576C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6576C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6576C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576C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576C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576C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576C0"/>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6576C0"/>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6576C0"/>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6576C0"/>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6576C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6576C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576C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576C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576C0"/>
    <w:rPr>
      <w:rFonts w:eastAsiaTheme="majorEastAsia" w:cstheme="majorBidi"/>
      <w:color w:val="272727" w:themeColor="text1" w:themeTint="D8"/>
    </w:rPr>
  </w:style>
  <w:style w:type="paragraph" w:styleId="Ttulo">
    <w:name w:val="Title"/>
    <w:basedOn w:val="Normal"/>
    <w:next w:val="Normal"/>
    <w:link w:val="TtuloCar"/>
    <w:uiPriority w:val="10"/>
    <w:qFormat/>
    <w:rsid w:val="006576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576C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576C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576C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576C0"/>
    <w:pPr>
      <w:spacing w:before="160"/>
      <w:jc w:val="center"/>
    </w:pPr>
    <w:rPr>
      <w:i/>
      <w:iCs/>
      <w:color w:val="404040" w:themeColor="text1" w:themeTint="BF"/>
    </w:rPr>
  </w:style>
  <w:style w:type="character" w:customStyle="1" w:styleId="CitaCar">
    <w:name w:val="Cita Car"/>
    <w:basedOn w:val="Fuentedeprrafopredeter"/>
    <w:link w:val="Cita"/>
    <w:uiPriority w:val="29"/>
    <w:rsid w:val="006576C0"/>
    <w:rPr>
      <w:i/>
      <w:iCs/>
      <w:color w:val="404040" w:themeColor="text1" w:themeTint="BF"/>
    </w:rPr>
  </w:style>
  <w:style w:type="paragraph" w:styleId="Prrafodelista">
    <w:name w:val="List Paragraph"/>
    <w:basedOn w:val="Normal"/>
    <w:uiPriority w:val="34"/>
    <w:qFormat/>
    <w:rsid w:val="006576C0"/>
    <w:pPr>
      <w:ind w:left="720"/>
      <w:contextualSpacing/>
    </w:pPr>
  </w:style>
  <w:style w:type="character" w:styleId="nfasisintenso">
    <w:name w:val="Intense Emphasis"/>
    <w:basedOn w:val="Fuentedeprrafopredeter"/>
    <w:uiPriority w:val="21"/>
    <w:qFormat/>
    <w:rsid w:val="006576C0"/>
    <w:rPr>
      <w:i/>
      <w:iCs/>
      <w:color w:val="2F5496" w:themeColor="accent1" w:themeShade="BF"/>
    </w:rPr>
  </w:style>
  <w:style w:type="paragraph" w:styleId="Citadestacada">
    <w:name w:val="Intense Quote"/>
    <w:basedOn w:val="Normal"/>
    <w:next w:val="Normal"/>
    <w:link w:val="CitadestacadaCar"/>
    <w:uiPriority w:val="30"/>
    <w:qFormat/>
    <w:rsid w:val="006576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6576C0"/>
    <w:rPr>
      <w:i/>
      <w:iCs/>
      <w:color w:val="2F5496" w:themeColor="accent1" w:themeShade="BF"/>
    </w:rPr>
  </w:style>
  <w:style w:type="character" w:styleId="Referenciaintensa">
    <w:name w:val="Intense Reference"/>
    <w:basedOn w:val="Fuentedeprrafopredeter"/>
    <w:uiPriority w:val="32"/>
    <w:qFormat/>
    <w:rsid w:val="006576C0"/>
    <w:rPr>
      <w:b/>
      <w:bCs/>
      <w:smallCaps/>
      <w:color w:val="2F5496" w:themeColor="accent1" w:themeShade="BF"/>
      <w:spacing w:val="5"/>
    </w:rPr>
  </w:style>
  <w:style w:type="character" w:styleId="Hipervnculo">
    <w:name w:val="Hyperlink"/>
    <w:basedOn w:val="Fuentedeprrafopredeter"/>
    <w:uiPriority w:val="99"/>
    <w:unhideWhenUsed/>
    <w:rsid w:val="00EA3394"/>
    <w:rPr>
      <w:color w:val="0563C1" w:themeColor="hyperlink"/>
      <w:u w:val="single"/>
    </w:rPr>
  </w:style>
  <w:style w:type="character" w:styleId="Mencinsinresolver">
    <w:name w:val="Unresolved Mention"/>
    <w:basedOn w:val="Fuentedeprrafopredeter"/>
    <w:uiPriority w:val="99"/>
    <w:semiHidden/>
    <w:unhideWhenUsed/>
    <w:rsid w:val="00EA33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8</Pages>
  <Words>3447</Words>
  <Characters>18962</Characters>
  <Application>Microsoft Office Word</Application>
  <DocSecurity>0</DocSecurity>
  <Lines>158</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YOHAN PEREZ</dc:creator>
  <cp:keywords/>
  <dc:description/>
  <cp:lastModifiedBy>YOHAN PEREZ</cp:lastModifiedBy>
  <cp:revision>13</cp:revision>
  <dcterms:created xsi:type="dcterms:W3CDTF">2026-04-24T17:35:00Z</dcterms:created>
  <dcterms:modified xsi:type="dcterms:W3CDTF">2026-04-27T20:10:00Z</dcterms:modified>
</cp:coreProperties>
</file>