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Сухарев</w:t>
      </w:r>
      <w:r>
        <w:t xml:space="preserve"> </w:t>
      </w:r>
      <w:r>
        <w:t xml:space="preserve">Кирилл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теоретическое-введение"/>
    <w:p>
      <w:pPr>
        <w:pStyle w:val="Heading1"/>
      </w:pPr>
      <w:r>
        <w:t xml:space="preserve">Теоретическое введение</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Здесь</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Данное уравнение есть линейное однородное дифференциальное уравнение второго порядка и оно является примером линейной динамической системы. Его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center"/>
                        <m:count m:val="1"/>
                      </m:mcPr>
                    </m:mc>
                  </m:mcs>
                </m:mPr>
                <m:mr>
                  <m:e>
                    <m:acc>
                      <m:accPr>
                        <m:chr m:val="̇"/>
                      </m:accPr>
                      <m:e>
                        <m:r>
                          <m:t>x</m:t>
                        </m:r>
                      </m:e>
                    </m:acc>
                    <m:r>
                      <m:rPr>
                        <m:sty m:val="p"/>
                      </m:rPr>
                      <m:t>=</m:t>
                    </m:r>
                    <m:r>
                      <m:t>y</m:t>
                    </m:r>
                  </m:e>
                </m:mr>
                <m:mr>
                  <m:e>
                    <m:acc>
                      <m:accPr>
                        <m:chr m:val="̇"/>
                      </m:accPr>
                      <m:e>
                        <m:r>
                          <m:t>y</m:t>
                        </m:r>
                      </m:e>
                    </m:acc>
                    <m:r>
                      <m:rPr>
                        <m:sty m:val="p"/>
                      </m:rPr>
                      <m:t>=</m:t>
                    </m:r>
                    <m:r>
                      <m:rPr>
                        <m:sty m:val="p"/>
                      </m:rPr>
                      <m:t>−</m:t>
                    </m:r>
                    <m:r>
                      <m:t>2</m:t>
                    </m:r>
                    <m:r>
                      <m:t>γ</m:t>
                    </m:r>
                    <m:acc>
                      <m:accPr>
                        <m:chr m:val="̇"/>
                      </m:accPr>
                      <m:e>
                        <m:r>
                          <m:t>x</m:t>
                        </m:r>
                      </m:e>
                    </m:acc>
                    <m:r>
                      <m:rPr>
                        <m:sty m:val="p"/>
                      </m:rPr>
                      <m:t>−</m:t>
                    </m:r>
                    <m:sSubSup>
                      <m:e>
                        <m:r>
                          <m:t>ω</m:t>
                        </m:r>
                      </m:e>
                      <m:sub>
                        <m:r>
                          <m:t>0</m:t>
                        </m:r>
                      </m:sub>
                      <m:sup>
                        <m:r>
                          <m:t>2</m:t>
                        </m:r>
                      </m:sup>
                    </m:sSubSup>
                    <m:r>
                      <m:t>x</m:t>
                    </m:r>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0"/>
    <w:bookmarkStart w:id="21" w:name="задание"/>
    <w:p>
      <w:pPr>
        <w:pStyle w:val="Heading1"/>
      </w:pPr>
      <w:r>
        <w:t xml:space="preserve">Задание</w:t>
      </w:r>
    </w:p>
    <w:p>
      <w:pPr>
        <w:pStyle w:val="FirstParagraph"/>
      </w:pPr>
      <w:r>
        <w:rPr>
          <w:bCs/>
          <w:b/>
        </w:rPr>
        <w:t xml:space="preserve">Вариант 39</w:t>
      </w:r>
    </w:p>
    <w:p>
      <w:pPr>
        <w:pStyle w:val="BodyText"/>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1"/>
        </w:numPr>
        <w:pStyle w:val="Compact"/>
      </w:pPr>
      <w:r>
        <w:t xml:space="preserve">Колебания гармонического осциллятора без затуханий и без действий внешней силы</w:t>
      </w:r>
    </w:p>
    <w:p>
      <w:pPr>
        <w:pStyle w:val="FirstParagraph"/>
      </w:pPr>
      <m:oMathPara>
        <m:oMathParaPr>
          <m:jc m:val="center"/>
        </m:oMathParaPr>
        <m:oMath>
          <m:acc>
            <m:accPr>
              <m:chr m:val="̇"/>
            </m:accPr>
            <m:e>
              <m:r>
                <m:t>x</m:t>
              </m:r>
            </m:e>
          </m:acc>
          <m:r>
            <m:rPr>
              <m:sty m:val="p"/>
            </m:rPr>
            <m:t>+</m:t>
          </m:r>
          <m:r>
            <m:t>1.2</m:t>
          </m:r>
          <m:r>
            <m:t>x</m:t>
          </m:r>
          <m:r>
            <m:rPr>
              <m:sty m:val="p"/>
            </m:rPr>
            <m:t>=</m:t>
          </m:r>
          <m:r>
            <m:t>0</m:t>
          </m:r>
        </m:oMath>
      </m:oMathPara>
    </w:p>
    <w:p>
      <w:pPr>
        <w:numPr>
          <w:ilvl w:val="0"/>
          <w:numId w:val="1002"/>
        </w:numPr>
        <w:pStyle w:val="Compact"/>
      </w:pPr>
      <w:r>
        <w:t xml:space="preserve">Колебания гармонического осциллятора c затуханием и без действий внешней силы</w:t>
      </w:r>
    </w:p>
    <w:p>
      <w:pPr>
        <w:pStyle w:val="FirstParagraph"/>
      </w:pPr>
      <m:oMathPara>
        <m:oMathParaPr>
          <m:jc m:val="center"/>
        </m:oMathParaPr>
        <m:oMath>
          <m:acc>
            <m:accPr>
              <m:chr m:val="̈"/>
            </m:accPr>
            <m:e>
              <m:r>
                <m:t>x</m:t>
              </m:r>
            </m:e>
          </m:acc>
          <m:r>
            <m:rPr>
              <m:sty m:val="p"/>
            </m:rPr>
            <m:t>+</m:t>
          </m:r>
          <m:r>
            <m:t>2</m:t>
          </m:r>
          <m:acc>
            <m:accPr>
              <m:chr m:val="̇"/>
            </m:accPr>
            <m:e>
              <m:r>
                <m:t>x</m:t>
              </m:r>
            </m:e>
          </m:acc>
          <m:r>
            <m:rPr>
              <m:sty m:val="p"/>
            </m:rPr>
            <m:t>+</m:t>
          </m:r>
          <m:r>
            <m:t>4.3</m:t>
          </m:r>
          <m:r>
            <m:t>x</m:t>
          </m:r>
          <m:r>
            <m:rPr>
              <m:sty m:val="p"/>
            </m:rPr>
            <m:t>=</m:t>
          </m:r>
          <m:r>
            <m:t>0</m:t>
          </m:r>
        </m:oMath>
      </m:oMathPara>
    </w:p>
    <w:p>
      <w:pPr>
        <w:numPr>
          <w:ilvl w:val="0"/>
          <w:numId w:val="1003"/>
        </w:numPr>
        <w:pStyle w:val="Compact"/>
      </w:pPr>
      <w:r>
        <w:t xml:space="preserve">Колебания гармонического осциллятора c затуханием и под действием внешней силы</w:t>
      </w:r>
    </w:p>
    <w:p>
      <w:pPr>
        <w:pStyle w:val="FirstParagraph"/>
      </w:pPr>
      <m:oMathPara>
        <m:oMathParaPr>
          <m:jc m:val="center"/>
        </m:oMathParaPr>
        <m:oMath>
          <m:acc>
            <m:accPr>
              <m:chr m:val="̈"/>
            </m:accPr>
            <m:e>
              <m:r>
                <m:t>x</m:t>
              </m:r>
            </m:e>
          </m:acc>
          <m:r>
            <m:rPr>
              <m:sty m:val="p"/>
            </m:rPr>
            <m:t>+</m:t>
          </m:r>
          <m:r>
            <m:t>7.4</m:t>
          </m:r>
          <m:acc>
            <m:accPr>
              <m:chr m:val="̇"/>
            </m:accPr>
            <m:e>
              <m:r>
                <m:t>x</m:t>
              </m:r>
            </m:e>
          </m:acc>
          <m:r>
            <m:rPr>
              <m:sty m:val="p"/>
            </m:rPr>
            <m:t>+</m:t>
          </m:r>
          <m:r>
            <m:t>7.5</m:t>
          </m:r>
          <m:r>
            <m:t>x</m:t>
          </m:r>
          <m:r>
            <m:rPr>
              <m:sty m:val="p"/>
            </m:rPr>
            <m:t>=</m:t>
          </m:r>
          <m:r>
            <m:t>2.2</m:t>
          </m:r>
          <m:r>
            <m:t>c</m:t>
          </m:r>
          <m:r>
            <m:t>o</m:t>
          </m:r>
          <m:r>
            <m:t>s</m:t>
          </m:r>
          <m:r>
            <m:rPr>
              <m:sty m:val="p"/>
            </m:rPr>
            <m:t>(</m:t>
          </m:r>
          <m:r>
            <m:t>0.6</m:t>
          </m:r>
          <m:r>
            <m:t>t</m:t>
          </m:r>
          <m:r>
            <m:rPr>
              <m:sty m:val="p"/>
            </m:rPr>
            <m:t>)</m:t>
          </m:r>
        </m:oMath>
      </m:oMathPara>
    </w:p>
    <w:p>
      <w:pPr>
        <w:pStyle w:val="FirstParagraph"/>
      </w:pPr>
      <w:r>
        <w:t xml:space="preserve">На интервале</w:t>
      </w:r>
      <w:r>
        <w:t xml:space="preserve"> </w:t>
      </w:r>
      <m:oMath>
        <m:r>
          <m:t>t</m:t>
        </m:r>
        <m:r>
          <m:rPr>
            <m:sty m:val="p"/>
          </m:rPr>
          <m:t>∈</m:t>
        </m:r>
        <m:r>
          <m:rPr>
            <m:sty m:val="p"/>
          </m:rPr>
          <m:t>[</m:t>
        </m:r>
        <m:r>
          <m:t>0</m:t>
        </m:r>
        <m:r>
          <m:rPr>
            <m:sty m:val="p"/>
          </m:rPr>
          <m:t>;</m:t>
        </m:r>
        <m:r>
          <m:t>55</m:t>
        </m:r>
        <m:r>
          <m:rPr>
            <m:sty m:val="p"/>
          </m:rPr>
          <m:t>]</m:t>
        </m:r>
      </m:oMath>
      <w:r>
        <w:t xml:space="preserve"> </w:t>
      </w:r>
      <w:r>
        <w:t xml:space="preserve">(шаг 0.05) с начальными условиями</w:t>
      </w:r>
      <w:r>
        <w:t xml:space="preserve"> </w:t>
      </w:r>
      <m:oMath>
        <m:sSub>
          <m:e>
            <m:r>
              <m:t>x</m:t>
            </m:r>
          </m:e>
          <m:sub>
            <m:r>
              <m:t>0</m:t>
            </m:r>
          </m:sub>
        </m:sSub>
        <m:r>
          <m:rPr>
            <m:sty m:val="p"/>
          </m:rPr>
          <m:t>=</m:t>
        </m:r>
        <m:r>
          <m:t>0.2</m:t>
        </m:r>
        <m:r>
          <m:rPr>
            <m:sty m:val="p"/>
          </m:rPr>
          <m:t>,</m:t>
        </m:r>
        <m:sSub>
          <m:e>
            <m:r>
              <m:t>y</m:t>
            </m:r>
          </m:e>
          <m:sub>
            <m:r>
              <m:t>0</m:t>
            </m:r>
          </m:sub>
        </m:sSub>
        <m:r>
          <m:rPr>
            <m:sty m:val="p"/>
          </m:rPr>
          <m:t>=</m:t>
        </m:r>
        <m:r>
          <m:rPr>
            <m:sty m:val="p"/>
          </m:rPr>
          <m:t>−</m:t>
        </m:r>
        <m:r>
          <m:t>0.2</m:t>
        </m:r>
      </m:oMath>
    </w:p>
    <w:bookmarkEnd w:id="21"/>
    <w:bookmarkStart w:id="34" w:name="выполнение-лабораторной-работы"/>
    <w:p>
      <w:pPr>
        <w:pStyle w:val="Heading1"/>
      </w:pPr>
      <w:r>
        <w:t xml:space="preserve">Выполнение лабораторной работы</w:t>
      </w:r>
    </w:p>
    <w:p>
      <w:pPr>
        <w:numPr>
          <w:ilvl w:val="0"/>
          <w:numId w:val="1004"/>
        </w:numPr>
        <w:pStyle w:val="Compact"/>
      </w:pPr>
      <w:r>
        <w:t xml:space="preserve">Код будем писать на языке Julia. Подключим необходимые библиотеки и зададим начальные условия (Figure 1)</w:t>
      </w:r>
    </w:p>
    <w:p>
      <w:pPr>
        <w:pStyle w:val="CaptionedFigure"/>
      </w:pPr>
      <w:bookmarkStart w:id="23" w:name="fig:001"/>
      <w:r>
        <w:drawing>
          <wp:inline>
            <wp:extent cx="2704698" cy="1222408"/>
            <wp:effectExtent b="0" l="0" r="0" t="0"/>
            <wp:docPr descr="Figure 1: Начальные условия" title="" id="1" name="Picture"/>
            <a:graphic>
              <a:graphicData uri="http://schemas.openxmlformats.org/drawingml/2006/picture">
                <pic:pic>
                  <pic:nvPicPr>
                    <pic:cNvPr descr="images/report/img1.png" id="0" name="Picture"/>
                    <pic:cNvPicPr>
                      <a:picLocks noChangeArrowheads="1" noChangeAspect="1"/>
                    </pic:cNvPicPr>
                  </pic:nvPicPr>
                  <pic:blipFill>
                    <a:blip r:embed="rId22"/>
                    <a:stretch>
                      <a:fillRect/>
                    </a:stretch>
                  </pic:blipFill>
                  <pic:spPr bwMode="auto">
                    <a:xfrm>
                      <a:off x="0" y="0"/>
                      <a:ext cx="2704698" cy="1222408"/>
                    </a:xfrm>
                    <a:prstGeom prst="rect">
                      <a:avLst/>
                    </a:prstGeom>
                    <a:noFill/>
                    <a:ln w="9525">
                      <a:noFill/>
                      <a:headEnd/>
                      <a:tailEnd/>
                    </a:ln>
                  </pic:spPr>
                </pic:pic>
              </a:graphicData>
            </a:graphic>
          </wp:inline>
        </w:drawing>
      </w:r>
      <w:bookmarkEnd w:id="23"/>
    </w:p>
    <w:p>
      <w:pPr>
        <w:pStyle w:val="ImageCaption"/>
      </w:pPr>
      <w:r>
        <w:t xml:space="preserve">Figure 1: Начальные условия</w:t>
      </w:r>
    </w:p>
    <w:p>
      <w:pPr>
        <w:numPr>
          <w:ilvl w:val="0"/>
          <w:numId w:val="1005"/>
        </w:numPr>
        <w:pStyle w:val="Compact"/>
      </w:pPr>
      <w:r>
        <w:t xml:space="preserve">Напишем функцию, определяющую систему ОДУ, заданную первым случаем (Figure 2).</w:t>
      </w:r>
    </w:p>
    <w:p>
      <w:pPr>
        <w:pStyle w:val="CaptionedFigure"/>
      </w:pPr>
      <w:bookmarkStart w:id="25" w:name="fig:002"/>
      <w:r>
        <w:drawing>
          <wp:inline>
            <wp:extent cx="3724976" cy="770021"/>
            <wp:effectExtent b="0" l="0" r="0" t="0"/>
            <wp:docPr descr="Figure 2: Функция первой системы ОДУ" title="" id="1" name="Picture"/>
            <a:graphic>
              <a:graphicData uri="http://schemas.openxmlformats.org/drawingml/2006/picture">
                <pic:pic>
                  <pic:nvPicPr>
                    <pic:cNvPr descr="images/report/img2.png" id="0" name="Picture"/>
                    <pic:cNvPicPr>
                      <a:picLocks noChangeArrowheads="1" noChangeAspect="1"/>
                    </pic:cNvPicPr>
                  </pic:nvPicPr>
                  <pic:blipFill>
                    <a:blip r:embed="rId24"/>
                    <a:stretch>
                      <a:fillRect/>
                    </a:stretch>
                  </pic:blipFill>
                  <pic:spPr bwMode="auto">
                    <a:xfrm>
                      <a:off x="0" y="0"/>
                      <a:ext cx="3724976" cy="770021"/>
                    </a:xfrm>
                    <a:prstGeom prst="rect">
                      <a:avLst/>
                    </a:prstGeom>
                    <a:noFill/>
                    <a:ln w="9525">
                      <a:noFill/>
                      <a:headEnd/>
                      <a:tailEnd/>
                    </a:ln>
                  </pic:spPr>
                </pic:pic>
              </a:graphicData>
            </a:graphic>
          </wp:inline>
        </w:drawing>
      </w:r>
      <w:bookmarkEnd w:id="25"/>
    </w:p>
    <w:p>
      <w:pPr>
        <w:pStyle w:val="ImageCaption"/>
      </w:pPr>
      <w:r>
        <w:t xml:space="preserve">Figure 2: Функция первой системы ОДУ</w:t>
      </w:r>
    </w:p>
    <w:p>
      <w:pPr>
        <w:numPr>
          <w:ilvl w:val="0"/>
          <w:numId w:val="1006"/>
        </w:numPr>
        <w:pStyle w:val="Compact"/>
      </w:pPr>
      <w:r>
        <w:t xml:space="preserve">Напишем функцию, определяющую систему ОДУ, заданную вторым случаем (Figure 3).</w:t>
      </w:r>
    </w:p>
    <w:p>
      <w:pPr>
        <w:pStyle w:val="CaptionedFigure"/>
      </w:pPr>
      <w:bookmarkStart w:id="27" w:name="fig:003"/>
      <w:r>
        <w:drawing>
          <wp:inline>
            <wp:extent cx="3628724" cy="789271"/>
            <wp:effectExtent b="0" l="0" r="0" t="0"/>
            <wp:docPr descr="Figure 3: Функция второй системы ОДУ" title="" id="1" name="Picture"/>
            <a:graphic>
              <a:graphicData uri="http://schemas.openxmlformats.org/drawingml/2006/picture">
                <pic:pic>
                  <pic:nvPicPr>
                    <pic:cNvPr descr="images/report/img3.png" id="0" name="Picture"/>
                    <pic:cNvPicPr>
                      <a:picLocks noChangeArrowheads="1" noChangeAspect="1"/>
                    </pic:cNvPicPr>
                  </pic:nvPicPr>
                  <pic:blipFill>
                    <a:blip r:embed="rId26"/>
                    <a:stretch>
                      <a:fillRect/>
                    </a:stretch>
                  </pic:blipFill>
                  <pic:spPr bwMode="auto">
                    <a:xfrm>
                      <a:off x="0" y="0"/>
                      <a:ext cx="3628724" cy="789271"/>
                    </a:xfrm>
                    <a:prstGeom prst="rect">
                      <a:avLst/>
                    </a:prstGeom>
                    <a:noFill/>
                    <a:ln w="9525">
                      <a:noFill/>
                      <a:headEnd/>
                      <a:tailEnd/>
                    </a:ln>
                  </pic:spPr>
                </pic:pic>
              </a:graphicData>
            </a:graphic>
          </wp:inline>
        </w:drawing>
      </w:r>
      <w:bookmarkEnd w:id="27"/>
    </w:p>
    <w:p>
      <w:pPr>
        <w:pStyle w:val="ImageCaption"/>
      </w:pPr>
      <w:r>
        <w:t xml:space="preserve">Figure 3: Функция второй системы ОДУ</w:t>
      </w:r>
    </w:p>
    <w:p>
      <w:pPr>
        <w:numPr>
          <w:ilvl w:val="0"/>
          <w:numId w:val="1007"/>
        </w:numPr>
        <w:pStyle w:val="Compact"/>
      </w:pPr>
      <w:r>
        <w:t xml:space="preserve">Напишем функцию, определяющую систему ОДУ, заданную третьим случаем (Figure 4).</w:t>
      </w:r>
    </w:p>
    <w:p>
      <w:pPr>
        <w:pStyle w:val="CaptionedFigure"/>
      </w:pPr>
      <w:bookmarkStart w:id="29" w:name="fig:004"/>
      <w:r>
        <w:drawing>
          <wp:inline>
            <wp:extent cx="4312117" cy="808522"/>
            <wp:effectExtent b="0" l="0" r="0" t="0"/>
            <wp:docPr descr="Figure 4: Функция третьей системы ОДУ" title="" id="1" name="Picture"/>
            <a:graphic>
              <a:graphicData uri="http://schemas.openxmlformats.org/drawingml/2006/picture">
                <pic:pic>
                  <pic:nvPicPr>
                    <pic:cNvPr descr="images/report/img4.png" id="0" name="Picture"/>
                    <pic:cNvPicPr>
                      <a:picLocks noChangeArrowheads="1" noChangeAspect="1"/>
                    </pic:cNvPicPr>
                  </pic:nvPicPr>
                  <pic:blipFill>
                    <a:blip r:embed="rId28"/>
                    <a:stretch>
                      <a:fillRect/>
                    </a:stretch>
                  </pic:blipFill>
                  <pic:spPr bwMode="auto">
                    <a:xfrm>
                      <a:off x="0" y="0"/>
                      <a:ext cx="4312117" cy="808522"/>
                    </a:xfrm>
                    <a:prstGeom prst="rect">
                      <a:avLst/>
                    </a:prstGeom>
                    <a:noFill/>
                    <a:ln w="9525">
                      <a:noFill/>
                      <a:headEnd/>
                      <a:tailEnd/>
                    </a:ln>
                  </pic:spPr>
                </pic:pic>
              </a:graphicData>
            </a:graphic>
          </wp:inline>
        </w:drawing>
      </w:r>
      <w:bookmarkEnd w:id="29"/>
    </w:p>
    <w:p>
      <w:pPr>
        <w:pStyle w:val="ImageCaption"/>
      </w:pPr>
      <w:r>
        <w:t xml:space="preserve">Figure 4: Функция третьей системы ОДУ</w:t>
      </w:r>
    </w:p>
    <w:p>
      <w:pPr>
        <w:numPr>
          <w:ilvl w:val="0"/>
          <w:numId w:val="1008"/>
        </w:numPr>
        <w:pStyle w:val="Compact"/>
      </w:pPr>
      <w:r>
        <w:t xml:space="preserve">Решим эти систему и построим графическое отображение решения (Figure 5).</w:t>
      </w:r>
    </w:p>
    <w:p>
      <w:pPr>
        <w:pStyle w:val="CaptionedFigure"/>
      </w:pPr>
      <w:bookmarkStart w:id="31" w:name="fig:005"/>
      <w:r>
        <w:drawing>
          <wp:inline>
            <wp:extent cx="5334000" cy="3555999"/>
            <wp:effectExtent b="0" l="0" r="0" t="0"/>
            <wp:docPr descr="Figure 5: Решение систем ОДУ" title="" id="1" name="Picture"/>
            <a:graphic>
              <a:graphicData uri="http://schemas.openxmlformats.org/drawingml/2006/picture">
                <pic:pic>
                  <pic:nvPicPr>
                    <pic:cNvPr descr="images/report/img5.png" id="0"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bookmarkEnd w:id="31"/>
    </w:p>
    <w:p>
      <w:pPr>
        <w:pStyle w:val="ImageCaption"/>
      </w:pPr>
      <w:r>
        <w:t xml:space="preserve">Figure 5: Решение систем ОДУ</w:t>
      </w:r>
    </w:p>
    <w:p>
      <w:pPr>
        <w:pStyle w:val="CaptionedFigure"/>
      </w:pPr>
      <w:bookmarkStart w:id="33" w:name="fig:006"/>
      <w:r>
        <w:drawing>
          <wp:inline>
            <wp:extent cx="5334000" cy="5666879"/>
            <wp:effectExtent b="0" l="0" r="0" t="0"/>
            <wp:docPr descr="Figure 6: Полный код программы" title="" id="1" name="Picture"/>
            <a:graphic>
              <a:graphicData uri="http://schemas.openxmlformats.org/drawingml/2006/picture">
                <pic:pic>
                  <pic:nvPicPr>
                    <pic:cNvPr descr="images/report/img6.png" id="0" name="Picture"/>
                    <pic:cNvPicPr>
                      <a:picLocks noChangeArrowheads="1" noChangeAspect="1"/>
                    </pic:cNvPicPr>
                  </pic:nvPicPr>
                  <pic:blipFill>
                    <a:blip r:embed="rId32"/>
                    <a:stretch>
                      <a:fillRect/>
                    </a:stretch>
                  </pic:blipFill>
                  <pic:spPr bwMode="auto">
                    <a:xfrm>
                      <a:off x="0" y="0"/>
                      <a:ext cx="5334000" cy="5666879"/>
                    </a:xfrm>
                    <a:prstGeom prst="rect">
                      <a:avLst/>
                    </a:prstGeom>
                    <a:noFill/>
                    <a:ln w="9525">
                      <a:noFill/>
                      <a:headEnd/>
                      <a:tailEnd/>
                    </a:ln>
                  </pic:spPr>
                </pic:pic>
              </a:graphicData>
            </a:graphic>
          </wp:inline>
        </w:drawing>
      </w:r>
      <w:bookmarkEnd w:id="33"/>
    </w:p>
    <w:p>
      <w:pPr>
        <w:pStyle w:val="ImageCaption"/>
      </w:pPr>
      <w:r>
        <w:t xml:space="preserve">Figure 6: Полный код программы</w:t>
      </w:r>
    </w:p>
    <w:bookmarkEnd w:id="34"/>
    <w:bookmarkStart w:id="35" w:name="контрольные-вопросы"/>
    <w:p>
      <w:pPr>
        <w:pStyle w:val="Heading1"/>
      </w:pPr>
      <w:r>
        <w:t xml:space="preserve">Контрольные вопросы</w:t>
      </w:r>
    </w:p>
    <w:p>
      <w:pPr>
        <w:numPr>
          <w:ilvl w:val="0"/>
          <w:numId w:val="1009"/>
        </w:numPr>
        <w:pStyle w:val="Compact"/>
      </w:pPr>
      <w:r>
        <w:t xml:space="preserve">Запишите простейшую модель гармонических колебаний</w:t>
      </w:r>
    </w:p>
    <w:p>
      <w:pPr>
        <w:pStyle w:val="FirstParagraph"/>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numPr>
          <w:ilvl w:val="0"/>
          <w:numId w:val="1010"/>
        </w:numPr>
        <w:pStyle w:val="Compact"/>
      </w:pPr>
      <w:r>
        <w:t xml:space="preserve">Дайте определение осциллятора</w:t>
      </w:r>
    </w:p>
    <w:p>
      <w:pPr>
        <w:pStyle w:val="FirstParagraph"/>
      </w:pPr>
      <w:r>
        <w:t xml:space="preserve">Осциллятор - система, совершающая колебания, то есть показатели которой периодически повторяются во времени.</w:t>
      </w:r>
    </w:p>
    <w:p>
      <w:pPr>
        <w:numPr>
          <w:ilvl w:val="0"/>
          <w:numId w:val="1011"/>
        </w:numPr>
        <w:pStyle w:val="Compact"/>
      </w:pPr>
      <w:r>
        <w:t xml:space="preserve">Запишите модель математического маятника</w:t>
      </w:r>
    </w:p>
    <w:p>
      <w:pPr>
        <w:pStyle w:val="FirstParagraph"/>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numPr>
          <w:ilvl w:val="0"/>
          <w:numId w:val="1012"/>
        </w:numPr>
        <w:pStyle w:val="Compact"/>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pStyle w:val="FirstParagraph"/>
      </w:pPr>
      <w:r>
        <w:t xml:space="preserve">Пусть ДУ второго порядка имеет вид:</w:t>
      </w:r>
      <w:r>
        <w:t xml:space="preserve"> </w:t>
      </w:r>
      <m:oMath>
        <m:r>
          <m:t>A</m:t>
        </m:r>
        <m:acc>
          <m:accPr>
            <m:chr m:val="̈"/>
          </m:accPr>
          <m:e>
            <m:r>
              <m:t>x</m:t>
            </m:r>
          </m:e>
        </m:acc>
        <m:r>
          <m:rPr>
            <m:sty m:val="p"/>
          </m:rPr>
          <m:t>+</m:t>
        </m:r>
        <m:r>
          <m:t>B</m:t>
        </m:r>
        <m:acc>
          <m:accPr>
            <m:chr m:val="̇"/>
          </m:accPr>
          <m:e>
            <m:r>
              <m:t>x</m:t>
            </m:r>
          </m:e>
        </m:acc>
        <m:r>
          <m:rPr>
            <m:sty m:val="p"/>
          </m:rPr>
          <m:t>+</m:t>
        </m:r>
        <m:r>
          <m:t>C</m:t>
        </m:r>
        <m:sSubSup>
          <m:e>
            <m:r>
              <m:t>ω</m:t>
            </m:r>
          </m:e>
          <m:sub>
            <m:r>
              <m:t>0</m:t>
            </m:r>
          </m:sub>
          <m:sup>
            <m:r>
              <m:t>2</m:t>
            </m:r>
          </m:sup>
        </m:sSubSup>
        <m:r>
          <m:t>x</m:t>
        </m:r>
        <m:r>
          <m:rPr>
            <m:sty m:val="p"/>
          </m:rPr>
          <m:t>=</m:t>
        </m:r>
        <m:r>
          <m:t>P</m:t>
        </m:r>
        <m:r>
          <m:rPr>
            <m:sty m:val="p"/>
          </m:rPr>
          <m:t>(</m:t>
        </m:r>
        <m:r>
          <m:t>t</m:t>
        </m:r>
        <m:r>
          <m:rPr>
            <m:sty m:val="p"/>
          </m:rPr>
          <m:t>)</m:t>
        </m:r>
      </m:oMath>
      <w:r>
        <w:t xml:space="preserve">. Тогда система из двух ДУ первого порядка будет выглядеть так:</w:t>
      </w:r>
    </w:p>
    <w:p>
      <w:pPr>
        <w:pStyle w:val="BodyText"/>
      </w:pPr>
      <m:oMathPara>
        <m:oMathParaPr>
          <m:jc m:val="center"/>
        </m:oMathParaPr>
        <m:oMath>
          <m:d>
            <m:dPr>
              <m:begChr m:val="{"/>
              <m:endChr m:val=""/>
              <m:grow/>
            </m:dPr>
            <m:e>
              <m:m>
                <m:mPr>
                  <m:baseJc m:val="center"/>
                  <m:plcHide m:val="1"/>
                  <m:mcs>
                    <m:mc>
                      <m:mcPr>
                        <m:mcJc m:val="center"/>
                        <m:count m:val="1"/>
                      </m:mcPr>
                    </m:mc>
                  </m:mcs>
                </m:mPr>
                <m:mr>
                  <m:e>
                    <m:acc>
                      <m:accPr>
                        <m:chr m:val="̇"/>
                      </m:accPr>
                      <m:e>
                        <m:r>
                          <m:t>x</m:t>
                        </m:r>
                      </m:e>
                    </m:acc>
                    <m:r>
                      <m:rPr>
                        <m:sty m:val="p"/>
                      </m:rPr>
                      <m:t>=</m:t>
                    </m:r>
                    <m:r>
                      <m:t>y</m:t>
                    </m:r>
                  </m:e>
                </m:mr>
                <m:mr>
                  <m:e>
                    <m:acc>
                      <m:accPr>
                        <m:chr m:val="̇"/>
                      </m:accPr>
                      <m:e>
                        <m:r>
                          <m:t>y</m:t>
                        </m:r>
                      </m:e>
                    </m:acc>
                    <m:r>
                      <m:rPr>
                        <m:sty m:val="p"/>
                      </m:rPr>
                      <m:t>=</m:t>
                    </m:r>
                    <m:f>
                      <m:fPr>
                        <m:type m:val="bar"/>
                      </m:fPr>
                      <m:num>
                        <m:r>
                          <m:rPr>
                            <m:sty m:val="p"/>
                          </m:rPr>
                          <m:t>−</m:t>
                        </m:r>
                        <m:r>
                          <m:t>B</m:t>
                        </m:r>
                        <m:acc>
                          <m:accPr>
                            <m:chr m:val="̇"/>
                          </m:accPr>
                          <m:e>
                            <m:r>
                              <m:t>x</m:t>
                            </m:r>
                          </m:e>
                        </m:acc>
                        <m:r>
                          <m:rPr>
                            <m:sty m:val="p"/>
                          </m:rPr>
                          <m:t>−</m:t>
                        </m:r>
                        <m:r>
                          <m:t>C</m:t>
                        </m:r>
                        <m:r>
                          <m:t>x</m:t>
                        </m:r>
                        <m:r>
                          <m:rPr>
                            <m:sty m:val="p"/>
                          </m:rPr>
                          <m:t>−</m:t>
                        </m:r>
                        <m:r>
                          <m:t>P</m:t>
                        </m:r>
                        <m:r>
                          <m:rPr>
                            <m:sty m:val="p"/>
                          </m:rPr>
                          <m:t>(</m:t>
                        </m:r>
                        <m:r>
                          <m:t>t</m:t>
                        </m:r>
                        <m:r>
                          <m:rPr>
                            <m:sty m:val="p"/>
                          </m:rPr>
                          <m:t>)</m:t>
                        </m:r>
                      </m:num>
                      <m:den>
                        <m:r>
                          <m:t>A</m:t>
                        </m:r>
                      </m:den>
                    </m:f>
                  </m:e>
                </m:mr>
              </m:m>
            </m:e>
          </m:d>
        </m:oMath>
      </m:oMathPara>
    </w:p>
    <w:p>
      <w:pPr>
        <w:numPr>
          <w:ilvl w:val="0"/>
          <w:numId w:val="1013"/>
        </w:numPr>
        <w:pStyle w:val="Compact"/>
      </w:pPr>
      <w:r>
        <w:t xml:space="preserve">Что такое фазовый портрет и фазовая траектория?</w:t>
      </w:r>
    </w:p>
    <w:p>
      <w:pPr>
        <w:pStyle w:val="FirstParagraph"/>
      </w:pP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p>
      <w:pPr>
        <w:pStyle w:val="BodyText"/>
      </w:pPr>
      <w:r>
        <w:t xml:space="preserve">Фазовый портрет - геометрическое представление траекторий динамической системы в фазовой плоскости.</w:t>
      </w:r>
    </w:p>
    <w:bookmarkEnd w:id="35"/>
    <w:bookmarkStart w:id="36" w:name="выводы"/>
    <w:p>
      <w:pPr>
        <w:pStyle w:val="Heading1"/>
      </w:pPr>
      <w:r>
        <w:t xml:space="preserve">Выводы</w:t>
      </w:r>
    </w:p>
    <w:p>
      <w:pPr>
        <w:pStyle w:val="FirstParagraph"/>
      </w:pPr>
      <w:r>
        <w:t xml:space="preserve">Рассмотренные простейшие модели гармонических колебаний соответствуют дифференциальным уравнениям второго порядка, которые можно представить в виде системы двух дифференциальным уравнениям первого порядка.</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4</dc:title>
  <dc:creator>Сухарев Кирилл</dc:creator>
  <dc:language>ru-RU</dc:language>
  <cp:keywords/>
  <dcterms:created xsi:type="dcterms:W3CDTF">2021-03-06T18:58:48Z</dcterms:created>
  <dcterms:modified xsi:type="dcterms:W3CDTF">2021-03-06T18:58:48Z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Модель гармонических колебаний</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