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39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0.67</m:t>
        </m:r>
        <m:r>
          <m:rPr>
            <m:sty m:val="p"/>
          </m:rPr>
          <m:t>+</m:t>
        </m:r>
        <m:r>
          <m:t>0.000067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0.000076</m:t>
        </m:r>
        <m:r>
          <m:rPr>
            <m:sty m:val="p"/>
          </m:rPr>
          <m:t>+</m:t>
        </m:r>
        <m:r>
          <m:t>0.76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0.76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0.67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1150</m:t>
        </m:r>
      </m:oMath>
      <w:r>
        <w:t xml:space="preserve">, в начальный момент о товаре знает 12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напишем код для первого случая. (Figure 1).</w:t>
      </w:r>
    </w:p>
    <w:p>
      <w:pPr>
        <w:pStyle w:val="CaptionedFigure"/>
      </w:pPr>
      <w:bookmarkStart w:id="23" w:name="fig:001"/>
      <w:r>
        <w:drawing>
          <wp:inline>
            <wp:extent cx="5334000" cy="1997277"/>
            <wp:effectExtent b="0" l="0" r="0" t="0"/>
            <wp:docPr descr="Figure 1: Код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Получили график для первого случая (Figure 2).</w:t>
      </w:r>
    </w:p>
    <w:p>
      <w:pPr>
        <w:pStyle w:val="CaptionedFigure"/>
      </w:pPr>
      <w:bookmarkStart w:id="25" w:name="fig:002"/>
      <w:r>
        <w:drawing>
          <wp:inline>
            <wp:extent cx="5334000" cy="3555999"/>
            <wp:effectExtent b="0" l="0" r="0" t="0"/>
            <wp:docPr descr="Figure 2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для первого случая</w:t>
      </w:r>
    </w:p>
    <w:p>
      <w:pPr>
        <w:numPr>
          <w:ilvl w:val="0"/>
          <w:numId w:val="1004"/>
        </w:numPr>
        <w:pStyle w:val="Compact"/>
      </w:pPr>
      <w:r>
        <w:t xml:space="preserve">Теперь изменим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чтобы смоделировать вторую ситуацию. (Figure 3).</w:t>
      </w:r>
    </w:p>
    <w:p>
      <w:pPr>
        <w:pStyle w:val="CaptionedFigure"/>
      </w:pPr>
      <w:bookmarkStart w:id="27" w:name="fig:003"/>
      <w:r>
        <w:drawing>
          <wp:inline>
            <wp:extent cx="5334000" cy="1997277"/>
            <wp:effectExtent b="0" l="0" r="0" t="0"/>
            <wp:docPr descr="Figure 3: Код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для второго случая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график, по которому определим время, когда скорость распространения рекламы будет иметь максимальное значение. Так как участок около этой точки имеет вид очень схожий с прямой, что говорит об равной скорости распространения рекламы на всем ее протяжении, то можем брать любую точку этой прямой -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0.005</m:t>
        </m:r>
      </m:oMath>
      <w:r>
        <w:t xml:space="preserve"> </w:t>
      </w:r>
      <w:r>
        <w:t xml:space="preserve">(Figure 4).</w:t>
      </w:r>
    </w:p>
    <w:p>
      <w:pPr>
        <w:pStyle w:val="CaptionedFigure"/>
      </w:pPr>
      <w:bookmarkStart w:id="29" w:name="fig:004"/>
      <w:r>
        <w:drawing>
          <wp:inline>
            <wp:extent cx="5334000" cy="3555999"/>
            <wp:effectExtent b="0" l="0" r="0" t="0"/>
            <wp:docPr descr="Figure 4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для второго случая</w:t>
      </w:r>
    </w:p>
    <w:p>
      <w:pPr>
        <w:numPr>
          <w:ilvl w:val="0"/>
          <w:numId w:val="1006"/>
        </w:numPr>
        <w:pStyle w:val="Compact"/>
      </w:pPr>
      <w:r>
        <w:t xml:space="preserve">Установим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соответствии с третьей ситуацией. (Figure 5).</w:t>
      </w:r>
    </w:p>
    <w:p>
      <w:pPr>
        <w:pStyle w:val="CaptionedFigure"/>
      </w:pPr>
      <w:bookmarkStart w:id="31" w:name="fig:005"/>
      <w:r>
        <w:drawing>
          <wp:inline>
            <wp:extent cx="5334000" cy="1997277"/>
            <wp:effectExtent b="0" l="0" r="0" t="0"/>
            <wp:docPr descr="Figure 5: Код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Код для третьего случая</w:t>
      </w:r>
    </w:p>
    <w:p>
      <w:pPr>
        <w:numPr>
          <w:ilvl w:val="0"/>
          <w:numId w:val="1007"/>
        </w:numPr>
        <w:pStyle w:val="Compact"/>
      </w:pPr>
      <w:r>
        <w:t xml:space="preserve">Построим график этой ситуации (Figure 6).</w:t>
      </w:r>
    </w:p>
    <w:p>
      <w:pPr>
        <w:pStyle w:val="CaptionedFigure"/>
      </w:pPr>
      <w:bookmarkStart w:id="33" w:name="fig:006"/>
      <w:r>
        <w:drawing>
          <wp:inline>
            <wp:extent cx="5334000" cy="3555999"/>
            <wp:effectExtent b="0" l="0" r="0" t="0"/>
            <wp:docPr descr="Figure 6: График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s/report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График для третьего случая</w:t>
      </w:r>
    </w:p>
    <w:bookmarkEnd w:id="34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9"/>
        </w:numPr>
      </w:pPr>
      <m:oMath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— исходная численность населения,</w:t>
      </w:r>
    </w:p>
    <w:p>
      <w:pPr>
        <w:numPr>
          <w:ilvl w:val="0"/>
          <w:numId w:val="1009"/>
        </w:numPr>
      </w:pPr>
      <m:oMath>
        <m:r>
          <m:t>r</m:t>
        </m:r>
      </m:oMath>
      <w:r>
        <w:t xml:space="preserve"> </w:t>
      </w:r>
      <w:r>
        <w:t xml:space="preserve">— темп прироста населения («мальтузианский параметр»),</w:t>
      </w:r>
    </w:p>
    <w:p>
      <w:pPr>
        <w:numPr>
          <w:ilvl w:val="0"/>
          <w:numId w:val="1009"/>
        </w:numPr>
      </w:pPr>
      <m:oMath>
        <m:r>
          <m:t>t</m:t>
        </m:r>
      </m:oMath>
      <w:r>
        <w:t xml:space="preserve"> </w:t>
      </w:r>
      <w:r>
        <w:t xml:space="preserve">— время.</w:t>
      </w:r>
    </w:p>
    <w:p>
      <w:pPr>
        <w:numPr>
          <w:ilvl w:val="0"/>
          <w:numId w:val="1010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11"/>
        </w:numPr>
      </w:pPr>
      <m:oMath>
        <m:r>
          <m:t>P</m:t>
        </m:r>
      </m:oMath>
      <w:r>
        <w:t xml:space="preserve"> </w:t>
      </w:r>
      <w:r>
        <w:t xml:space="preserve">— численность популяции,</w:t>
      </w:r>
    </w:p>
    <w:p>
      <w:pPr>
        <w:numPr>
          <w:ilvl w:val="0"/>
          <w:numId w:val="1011"/>
        </w:numPr>
      </w:pPr>
      <m:oMath>
        <m:r>
          <m:t>r</m:t>
        </m:r>
      </m:oMath>
      <w:r>
        <w:t xml:space="preserve"> </w:t>
      </w:r>
      <w:r>
        <w:t xml:space="preserve">— скорость роста (размножения),</w:t>
      </w:r>
    </w:p>
    <w:p>
      <w:pPr>
        <w:numPr>
          <w:ilvl w:val="0"/>
          <w:numId w:val="1011"/>
        </w:numPr>
      </w:pPr>
      <m:oMath>
        <m:r>
          <m:t>K</m:t>
        </m:r>
      </m:oMath>
      <w:r>
        <w:t xml:space="preserve"> </w:t>
      </w:r>
      <w:r>
        <w:t xml:space="preserve">— поддерживающая ёмкость среды (то есть, максимально возможная численность популяции).</w:t>
      </w:r>
    </w:p>
    <w:p>
      <w:pPr>
        <w:numPr>
          <w:ilvl w:val="0"/>
          <w:numId w:val="1012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характеризует интенсивность рекламной компании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характеризует эффект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Модель принимает вид модели Мальтуса</w:t>
      </w:r>
    </w:p>
    <w:p>
      <w:pPr>
        <w:numPr>
          <w:ilvl w:val="0"/>
          <w:numId w:val="1014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Модель принимает вид логистической кривой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615f1ed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Сухарев Кирилл</dc:creator>
  <dc:language>ru-RU</dc:language>
  <cp:keywords/>
  <dcterms:created xsi:type="dcterms:W3CDTF">2021-03-22T08:33:26Z</dcterms:created>
  <dcterms:modified xsi:type="dcterms:W3CDTF">2021-03-22T08:33:26Z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