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Forest</w:t>
      </w:r>
      <w:r>
        <w:t xml:space="preserve"> </w:t>
      </w:r>
      <w:r>
        <w:t xml:space="preserve">Carbon</w:t>
      </w:r>
      <w:r>
        <w:t xml:space="preserve"> </w:t>
      </w:r>
      <w:r>
        <w:t xml:space="preserve">Estimation:</w:t>
      </w:r>
      <w:r>
        <w:t xml:space="preserve"> </w:t>
      </w:r>
      <w:r>
        <w:t xml:space="preserve">Confidence,</w:t>
      </w:r>
      <w:r>
        <w:t xml:space="preserve"> </w:t>
      </w:r>
      <w:r>
        <w:t xml:space="preserve">Accuracy</w:t>
      </w:r>
      <w:r>
        <w:t xml:space="preserve"> </w:t>
      </w:r>
      <w:r>
        <w:t xml:space="preserve">&amp;</w:t>
      </w:r>
      <w:r>
        <w:t xml:space="preserve"> </w:t>
      </w:r>
      <w:r>
        <w:t xml:space="preserve">Uncertainty</w:t>
      </w:r>
    </w:p>
    <w:p>
      <w:pPr>
        <w:pStyle w:val="Author"/>
      </w:pPr>
      <w:r>
        <w:t xml:space="preserve">A</w:t>
      </w:r>
      <w:r>
        <w:t xml:space="preserve"> </w:t>
      </w:r>
      <w:r>
        <w:t xml:space="preserve">methodology</w:t>
      </w:r>
      <w:r>
        <w:t xml:space="preserve"> </w:t>
      </w:r>
      <w:r>
        <w:t xml:space="preserve">and</w:t>
      </w:r>
      <w:r>
        <w:t xml:space="preserve"> </w:t>
      </w:r>
      <w:r>
        <w:t xml:space="preserve">limitations</w:t>
      </w:r>
      <w:r>
        <w:t xml:space="preserve"> </w:t>
      </w:r>
      <w:r>
        <w:t xml:space="preserve">reference</w:t>
      </w:r>
      <w:r>
        <w:t xml:space="preserve"> </w:t>
      </w:r>
      <w:r>
        <w:t xml:space="preserve">for</w:t>
      </w:r>
      <w:r>
        <w:t xml:space="preserve"> </w:t>
      </w:r>
      <w:r>
        <w:t xml:space="preserve">the</w:t>
      </w:r>
      <w:r>
        <w:t xml:space="preserve"> </w:t>
      </w:r>
      <w:r>
        <w:t xml:space="preserve">180Climate</w:t>
      </w:r>
      <w:r>
        <w:t xml:space="preserve"> </w:t>
      </w:r>
      <w:r>
        <w:t xml:space="preserve">Forest</w:t>
      </w:r>
      <w:r>
        <w:t xml:space="preserve"> </w:t>
      </w:r>
      <w:r>
        <w:t xml:space="preserve">Carbon</w:t>
      </w:r>
      <w:r>
        <w:t xml:space="preserve"> </w:t>
      </w:r>
      <w:r>
        <w:t xml:space="preserve">Pre-Feasibility</w:t>
      </w:r>
      <w:r>
        <w:t xml:space="preserve"> </w:t>
      </w:r>
      <w:r>
        <w:t xml:space="preserve">Screening</w:t>
      </w:r>
      <w:r>
        <w:t xml:space="preserve"> </w:t>
      </w:r>
      <w:r>
        <w:t xml:space="preserve">Tool</w:t>
      </w:r>
    </w:p>
    <w:p>
      <w:pPr>
        <w:pStyle w:val="Date"/>
      </w:pPr>
      <w:r>
        <w:t xml:space="preserve">180Climate</w:t>
      </w:r>
      <w:r>
        <w:t xml:space="preserve"> </w:t>
      </w:r>
      <w:r>
        <w:t xml:space="preserve">·</w:t>
      </w:r>
      <w:r>
        <w:t xml:space="preserve"> </w:t>
      </w:r>
      <w:r>
        <w:t xml:space="preserve">v1.0</w:t>
      </w:r>
      <w:r>
        <w:t xml:space="preserve"> </w:t>
      </w:r>
      <w:r>
        <w:t xml:space="preserve">·</w:t>
      </w:r>
      <w:r>
        <w:t xml:space="preserve"> </w:t>
      </w:r>
      <w:r>
        <w:t xml:space="preserve">23</w:t>
      </w:r>
      <w:r>
        <w:t xml:space="preserve"> </w:t>
      </w:r>
      <w:r>
        <w:t xml:space="preserve">June</w:t>
      </w:r>
      <w:r>
        <w:t xml:space="preserve"> </w:t>
      </w:r>
      <w:r>
        <w:t xml:space="preserve">2026</w:t>
      </w:r>
    </w:p>
    <w:p>
      <w:pPr>
        <w:pStyle w:val="FirstParagraph"/>
      </w:pPr>
      <w:r>
        <w:rPr>
          <w:bCs/>
          <w:b/>
        </w:rPr>
        <w:t xml:space="preserve">Prepared for:</w:t>
      </w:r>
      <w:r>
        <w:t xml:space="preserve"> </w:t>
      </w:r>
      <w:r>
        <w:t xml:space="preserve">180Climate</w:t>
      </w:r>
      <w:r>
        <w:t xml:space="preserve"> </w:t>
      </w:r>
      <w:r>
        <w:rPr>
          <w:bCs/>
          <w:b/>
        </w:rPr>
        <w:t xml:space="preserve">Document type:</w:t>
      </w:r>
      <w:r>
        <w:t xml:space="preserve"> </w:t>
      </w:r>
      <w:r>
        <w:t xml:space="preserve">Methodology &amp; limitations reference</w:t>
      </w:r>
      <w:r>
        <w:t xml:space="preserve"> </w:t>
      </w:r>
      <w:r>
        <w:rPr>
          <w:bCs/>
          <w:b/>
        </w:rPr>
        <w:t xml:space="preserve">Version/date:</w:t>
      </w:r>
      <w:r>
        <w:t xml:space="preserve"> </w:t>
      </w:r>
      <w:r>
        <w:t xml:space="preserve">v1.0 · 23 June 2026</w:t>
      </w:r>
      <w:r>
        <w:t xml:space="preserve"> </w:t>
      </w:r>
      <w:r>
        <w:rPr>
          <w:bCs/>
          <w:b/>
        </w:rPr>
        <w:t xml:space="preserve">Status:</w:t>
      </w:r>
      <w:r>
        <w:t xml:space="preserve"> </w:t>
      </w:r>
      <w:r>
        <w:t xml:space="preserve">Indicative — screening-grade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rPr>
          <w:bCs/>
          <w:b/>
        </w:rPr>
        <w:t xml:space="preserve">Headline.</w:t>
      </w:r>
      <w:r>
        <w:t xml:space="preserve"> </w:t>
      </w:r>
      <w:r>
        <w:t xml:space="preserve">180Climate’s carbon figures are deliberately reported as</w:t>
      </w:r>
      <w:r>
        <w:t xml:space="preserve"> </w:t>
      </w:r>
      <w:r>
        <w:rPr>
          <w:bCs/>
          <w:b/>
        </w:rPr>
        <w:t xml:space="preserve">ranges with a stated uncertainty band</w:t>
      </w:r>
      <w:r>
        <w:t xml:space="preserve"> </w:t>
      </w:r>
      <w:r>
        <w:t xml:space="preserve">— never a single number and never a single</w:t>
      </w:r>
      <w:r>
        <w:t xml:space="preserve"> </w:t>
      </w:r>
      <w:r>
        <w:t xml:space="preserve">“</w:t>
      </w:r>
      <w:r>
        <w:t xml:space="preserve">% accuracy</w:t>
      </w:r>
      <w:r>
        <w:t xml:space="preserve">”</w:t>
      </w:r>
      <w:r>
        <w:t xml:space="preserve">. From free, open satellite data the tool produces an</w:t>
      </w:r>
      <w:r>
        <w:t xml:space="preserve"> </w:t>
      </w:r>
      <w:r>
        <w:rPr>
          <w:bCs/>
          <w:b/>
        </w:rPr>
        <w:t xml:space="preserve">indicative, screening-grade</w:t>
      </w:r>
      <w:r>
        <w:t xml:space="preserve"> </w:t>
      </w:r>
      <w:r>
        <w:t xml:space="preserve">estimate suitable for go/no-go decisions, not for financing or credit forecasting. Higher-resolution satellite data narrows the measurement error but does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resolve the largest source of uncertainty: the</w:t>
      </w:r>
      <w:r>
        <w:t xml:space="preserve"> </w:t>
      </w:r>
      <w:r>
        <w:rPr>
          <w:bCs/>
          <w:b/>
        </w:rPr>
        <w:t xml:space="preserve">baseline</w:t>
      </w:r>
      <w:r>
        <w:t xml:space="preserve"> </w:t>
      </w:r>
      <w:r>
        <w:t xml:space="preserve">(what would have happened anyway). The real step-change in confidence comes from</w:t>
      </w:r>
      <w:r>
        <w:t xml:space="preserve"> </w:t>
      </w:r>
      <w:r>
        <w:rPr>
          <w:bCs/>
          <w:b/>
        </w:rPr>
        <w:t xml:space="preserve">field measurement + an accredited methodology + third-party verification</w:t>
      </w:r>
      <w:r>
        <w:t xml:space="preserve"> </w:t>
      </w:r>
      <w:r>
        <w:t xml:space="preserve">— not from satellite resolution alone.</w:t>
      </w:r>
    </w:p>
    <w:bookmarkStart w:id="20" w:name="purpose-scope"/>
    <w:p>
      <w:pPr>
        <w:pStyle w:val="Heading2"/>
      </w:pPr>
      <w:r>
        <w:t xml:space="preserve">1. Purpose &amp; scope</w:t>
      </w:r>
    </w:p>
    <w:p>
      <w:pPr>
        <w:pStyle w:val="FirstParagraph"/>
      </w:pPr>
      <w:r>
        <w:t xml:space="preserve">This report explains, honestly and in defensible terms,</w:t>
      </w:r>
      <w:r>
        <w:t xml:space="preserve"> </w:t>
      </w:r>
      <w:r>
        <w:rPr>
          <w:bCs/>
          <w:b/>
        </w:rPr>
        <w:t xml:space="preserve">how confident a user can be</w:t>
      </w:r>
      <w:r>
        <w:t xml:space="preserve"> </w:t>
      </w:r>
      <w:r>
        <w:t xml:space="preserve">in the carbon volumes the 180Climate tool estimates, what drives the uncertainty, and how that confidence changes when free satellite data is swapped for higher-resolution commercial data or upgraded with field measurement. It is written so that a technical reviewer — a rival developer, a project verifier, or a funder’s advisor — can see that the tool’s claims are grounded in established forest-carbon and remote-sensing practice.</w:t>
      </w:r>
    </w:p>
    <w:p>
      <w:pPr>
        <w:pStyle w:val="BodyText"/>
      </w:pPr>
      <w:r>
        <w:t xml:space="preserve">The 180Climate tool is an</w:t>
      </w:r>
      <w:r>
        <w:t xml:space="preserve"> </w:t>
      </w:r>
      <w:r>
        <w:rPr>
          <w:bCs/>
          <w:b/>
        </w:rPr>
        <w:t xml:space="preserve">indicative pre-feasibility screening instrument</w:t>
      </w:r>
      <w:r>
        <w:t xml:space="preserve">. Its job is to give a landowner or developer a fast, transparent first read on whether a forest concession is worth taking to a full feasibility study. It is explicitly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a registry-grade quantification tool, and nothing in it should be read as a guarantee of issuable carbon credits.</w:t>
      </w:r>
    </w:p>
    <w:bookmarkEnd w:id="20"/>
    <w:bookmarkStart w:id="21" w:name="what-the-tool-estimates"/>
    <w:p>
      <w:pPr>
        <w:pStyle w:val="Heading2"/>
      </w:pPr>
      <w:r>
        <w:t xml:space="preserve">2. What the tool estimates</w:t>
      </w:r>
    </w:p>
    <w:p>
      <w:pPr>
        <w:pStyle w:val="FirstParagraph"/>
      </w:pPr>
      <w:r>
        <w:t xml:space="preserve">The headline figure is</w:t>
      </w:r>
      <w:r>
        <w:t xml:space="preserve"> </w:t>
      </w:r>
      <w:r>
        <w:rPr>
          <w:bCs/>
          <w:b/>
        </w:rPr>
        <w:t xml:space="preserve">avoided emissions</w:t>
      </w:r>
      <w:r>
        <w:t xml:space="preserve"> </w:t>
      </w:r>
      <w:r>
        <w:t xml:space="preserve">— the greenhouse gas, in tonnes of CO2-equivalent (tCO2e), that would be released if the forest were legally harvested under its permit, and that the project avoids by keeping the forest standing. In simplified form:</w:t>
      </w:r>
    </w:p>
    <w:p>
      <w:pPr>
        <w:pStyle w:val="BlockText"/>
      </w:pPr>
      <w:r>
        <w:t xml:space="preserve">Avoided emissions = (emissions under the legal-harvest baseline) − (emissions with the project in place) − leakage − buffer/permanence deductions</w:t>
      </w:r>
    </w:p>
    <w:p>
      <w:pPr>
        <w:pStyle w:val="FirstParagraph"/>
      </w:pPr>
      <w:r>
        <w:t xml:space="preserve">The additionality basis is the</w:t>
      </w:r>
      <w:r>
        <w:t xml:space="preserve"> </w:t>
      </w:r>
      <w:r>
        <w:rPr>
          <w:bCs/>
          <w:b/>
        </w:rPr>
        <w:t xml:space="preserve">foregone legal harvest right</w:t>
      </w:r>
      <w:r>
        <w:t xml:space="preserve"> </w:t>
      </w:r>
      <w:r>
        <w:t xml:space="preserve">— the owner gives up a permitted, lawful right to clear or log. Consistent with the tool’s methodology-agnostic design, the engine outputs a</w:t>
      </w:r>
      <w:r>
        <w:t xml:space="preserve"> </w:t>
      </w:r>
      <w:r>
        <w:rPr>
          <w:bCs/>
          <w:b/>
        </w:rPr>
        <w:t xml:space="preserve">transparent range</w:t>
      </w:r>
      <w:r>
        <w:t xml:space="preserve"> </w:t>
      </w:r>
      <w:r>
        <w:t xml:space="preserve">(a low and a high value) with the assumptions stated, and the AI narrative names the appropriate Verra family by permit type. It never converts these into a single, falsely precise figure.</w:t>
      </w:r>
    </w:p>
    <w:bookmarkEnd w:id="21"/>
    <w:bookmarkStart w:id="22" w:name="the-anatomy-of-uncertainty"/>
    <w:p>
      <w:pPr>
        <w:pStyle w:val="Heading2"/>
      </w:pPr>
      <w:r>
        <w:t xml:space="preserve">3. The anatomy of uncertainty</w:t>
      </w:r>
    </w:p>
    <w:p>
      <w:pPr>
        <w:pStyle w:val="FirstParagraph"/>
      </w:pPr>
      <w:r>
        <w:t xml:space="preserve">A forest-carbon estimate is not one measurement; it is a</w:t>
      </w:r>
      <w:r>
        <w:t xml:space="preserve"> </w:t>
      </w:r>
      <w:r>
        <w:rPr>
          <w:bCs/>
          <w:b/>
        </w:rPr>
        <w:t xml:space="preserve">chain of estimates multiplied together</w:t>
      </w:r>
      <w:r>
        <w:t xml:space="preserve">, and the errors compound. Critically, only some links in the chain are affected by satellite resolution.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Uncertainty 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it 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Typical magnitude*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Improved by higher-res satellite?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Area / boundary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Size and edge of the forest parcel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 (±5–15%)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Modestly — boundaries are usually known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Carbon density (biomass)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Tonnes of carbon per hectare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 (±30–50% fine-scale)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 — the main thing satellites improve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Baseline / counterfactual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would have happened without the project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Very high — can dominate the result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— methodological, not optical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Permanence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Risk the carbon is released later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Handled by 10–20% buffer pools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Leakage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Deforestation displaced elsewhere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Material, project-specific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Methodology / model choice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Allometric models, emission factors, rule flexibility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Material; adds optionality bias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</w:tbl>
    <w:p>
      <w:pPr>
        <w:pStyle w:val="BodyText"/>
      </w:pPr>
      <w:r>
        <w:rPr>
          <w:iCs/>
          <w:i/>
        </w:rPr>
        <w:t xml:space="preserve">Illustrative ranges synthesised from the remote-sensing literature; actual values vary by forest type, data, and method. Magnitudes are not additive — they propagate, and the dominant term governs the result.</w:t>
      </w:r>
    </w:p>
    <w:p>
      <w:pPr>
        <w:pStyle w:val="BlockText"/>
      </w:pPr>
      <w:r>
        <w:rPr>
          <w:bCs/>
          <w:b/>
        </w:rPr>
        <w:t xml:space="preserve">The key insight.</w:t>
      </w:r>
      <w:r>
        <w:t xml:space="preserve"> </w:t>
      </w:r>
      <w:r>
        <w:t xml:space="preserve">Satellite resolution mainly improves</w:t>
      </w:r>
      <w:r>
        <w:t xml:space="preserve"> </w:t>
      </w:r>
      <w:r>
        <w:rPr>
          <w:bCs/>
          <w:b/>
        </w:rPr>
        <w:t xml:space="preserve">carbon density</w:t>
      </w:r>
      <w:r>
        <w:t xml:space="preserve"> </w:t>
      </w:r>
      <w:r>
        <w:t xml:space="preserve">(and a little of</w:t>
      </w:r>
      <w:r>
        <w:t xml:space="preserve"> </w:t>
      </w:r>
      <w:r>
        <w:rPr>
          <w:bCs/>
          <w:b/>
        </w:rPr>
        <w:t xml:space="preserve">area</w:t>
      </w:r>
      <w:r>
        <w:t xml:space="preserve">). It does</w:t>
      </w:r>
      <w:r>
        <w:t xml:space="preserve"> </w:t>
      </w:r>
      <w:r>
        <w:rPr>
          <w:bCs/>
          <w:b/>
        </w:rPr>
        <w:t xml:space="preserve">nothing</w:t>
      </w:r>
      <w:r>
        <w:t xml:space="preserve"> </w:t>
      </w:r>
      <w:r>
        <w:t xml:space="preserve">for the</w:t>
      </w:r>
      <w:r>
        <w:t xml:space="preserve"> </w:t>
      </w:r>
      <w:r>
        <w:rPr>
          <w:bCs/>
          <w:b/>
        </w:rPr>
        <w:t xml:space="preserve">baseline</w:t>
      </w:r>
      <w:r>
        <w:t xml:space="preserve">, leakage, permanence, or methodology — and for issued credits the</w:t>
      </w:r>
      <w:r>
        <w:t xml:space="preserve"> </w:t>
      </w:r>
      <w:r>
        <w:rPr>
          <w:bCs/>
          <w:b/>
        </w:rPr>
        <w:t xml:space="preserve">baseline is usually the largest error of all</w:t>
      </w:r>
      <w:r>
        <w:t xml:space="preserve"> </w:t>
      </w:r>
      <w:r>
        <w:t xml:space="preserve">(Section 7). So</w:t>
      </w:r>
      <w:r>
        <w:t xml:space="preserve"> </w:t>
      </w:r>
      <w:r>
        <w:t xml:space="preserve">“</w:t>
      </w:r>
      <w:r>
        <w:t xml:space="preserve">better satellites</w:t>
      </w:r>
      <w:r>
        <w:t xml:space="preserve">”</w:t>
      </w:r>
      <w:r>
        <w:t xml:space="preserve"> </w:t>
      </w:r>
      <w:r>
        <w:t xml:space="preserve">cannot, on their own, take a screening estimate to high confidence on creditable volume.</w:t>
      </w:r>
    </w:p>
    <w:bookmarkEnd w:id="22"/>
    <w:bookmarkStart w:id="23" w:name="why-we-never-quote-a-single-confidence"/>
    <w:p>
      <w:pPr>
        <w:pStyle w:val="Heading2"/>
      </w:pPr>
      <w:r>
        <w:t xml:space="preserve">4. Why we never quote a single</w:t>
      </w:r>
      <w:r>
        <w:t xml:space="preserve"> </w:t>
      </w:r>
      <w:r>
        <w:t xml:space="preserve">“</w:t>
      </w:r>
      <w:r>
        <w:t xml:space="preserve">% confidence</w:t>
      </w:r>
      <w:r>
        <w:t xml:space="preserve">”</w:t>
      </w:r>
    </w:p>
    <w:p>
      <w:pPr>
        <w:pStyle w:val="FirstParagraph"/>
      </w:pPr>
      <w:r>
        <w:t xml:space="preserve">There is a real difference between two things people conflate: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 statistical confidence interval</w:t>
      </w:r>
      <w:r>
        <w:t xml:space="preserve"> </w:t>
      </w:r>
      <w:r>
        <w:t xml:space="preserve">— e.g. </w:t>
      </w:r>
      <w:r>
        <w:t xml:space="preserve">“</w:t>
      </w:r>
      <w:r>
        <w:t xml:space="preserve">X tCO2e, with a 90% interval of [low, high]</w:t>
      </w:r>
      <w:r>
        <w:t xml:space="preserve">”</w:t>
      </w:r>
      <w:r>
        <w:t xml:space="preserve">. This is rigorous and is what serious practitioners report.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 single</w:t>
      </w:r>
      <w:r>
        <w:rPr>
          <w:bCs/>
          <w:b/>
        </w:rPr>
        <w:t xml:space="preserve"> </w:t>
      </w:r>
      <w:r>
        <w:rPr>
          <w:bCs/>
          <w:b/>
        </w:rPr>
        <w:t xml:space="preserve">‘</w:t>
      </w:r>
      <w:r>
        <w:rPr>
          <w:bCs/>
          <w:b/>
        </w:rPr>
        <w:t xml:space="preserve">accuracy %</w:t>
      </w:r>
      <w:r>
        <w:rPr>
          <w:bCs/>
          <w:b/>
        </w:rPr>
        <w:t xml:space="preserve">’</w:t>
      </w:r>
      <w:r>
        <w:t xml:space="preserve"> </w:t>
      </w:r>
      <w:r>
        <w:t xml:space="preserve">— e.g. </w:t>
      </w:r>
      <w:r>
        <w:t xml:space="preserve">“</w:t>
      </w:r>
      <w:r>
        <w:t xml:space="preserve">our estimate is 85% accurate</w:t>
      </w:r>
      <w:r>
        <w:t xml:space="preserve">”</w:t>
      </w:r>
      <w:r>
        <w:t xml:space="preserve">. This is not a well-defined quantity for a multi-component avoided-emissions estimate, and experienced reviewers treat it as a warning sign.</w:t>
      </w:r>
    </w:p>
    <w:p>
      <w:pPr>
        <w:pStyle w:val="FirstParagraph"/>
      </w:pPr>
      <w:r>
        <w:t xml:space="preserve">Accordingly, 180Climate reports a</w:t>
      </w:r>
      <w:r>
        <w:t xml:space="preserve"> </w:t>
      </w:r>
      <w:r>
        <w:rPr>
          <w:bCs/>
          <w:b/>
        </w:rPr>
        <w:t xml:space="preserve">range plus an uncertainty band</w:t>
      </w:r>
      <w:r>
        <w:t xml:space="preserve"> </w:t>
      </w:r>
      <w:r>
        <w:t xml:space="preserve">and a plain-language confidence tier — and deliberately avoids a single accuracy percentage. The industry’s framing for</w:t>
      </w:r>
      <w:r>
        <w:t xml:space="preserve"> </w:t>
      </w:r>
      <w:r>
        <w:t xml:space="preserve">“</w:t>
      </w:r>
      <w:r>
        <w:t xml:space="preserve">how good is this number</w:t>
      </w:r>
      <w:r>
        <w:t xml:space="preserve">”</w:t>
      </w:r>
      <w:r>
        <w:t xml:space="preserve"> </w:t>
      </w:r>
      <w:r>
        <w:t xml:space="preserve">is the</w:t>
      </w:r>
      <w:r>
        <w:t xml:space="preserve"> </w:t>
      </w:r>
      <w:r>
        <w:rPr>
          <w:bCs/>
          <w:b/>
        </w:rPr>
        <w:t xml:space="preserve">IPCC Tier system</w:t>
      </w:r>
      <w:r>
        <w:t xml:space="preserve"> </w:t>
      </w:r>
      <w:r>
        <w:t xml:space="preserve">(Section 8) and standard error statistics such as %RMSE and R-squared — not a marketing-style accuracy figure.</w:t>
      </w:r>
    </w:p>
    <w:bookmarkEnd w:id="23"/>
    <w:bookmarkStart w:id="24" w:name="accuracy-of-free-open-satellite-data"/>
    <w:p>
      <w:pPr>
        <w:pStyle w:val="Heading2"/>
      </w:pPr>
      <w:r>
        <w:t xml:space="preserve">5. Accuracy of free, open satellite data</w:t>
      </w:r>
    </w:p>
    <w:p>
      <w:pPr>
        <w:pStyle w:val="FirstParagraph"/>
      </w:pPr>
      <w:r>
        <w:t xml:space="preserve">The tool’s free tier draws on the best openly available Earth-observation products. Each is strong for a specific purpose and weak for others: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Open data 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 &amp; resolution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Best used for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 limitation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GFW / Hansen GFC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Optical, 30 m, annual since 2000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Tree-cover loss history, screening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Coarse; loss ≠ carbon; no degradation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JRC Tropical Moist Forest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Optical, ~30 m, long time series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Disturbance &amp; recovery, deforestation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Class-based; not biomass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RADD alerts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Radar (Sentinel-1), ~10 m, near-real-time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Recent loss, cloud-prone tropics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Detection, not carbon stock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ESA CCI Biomass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Modelled map, ~100 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First-pass biomass density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Large pixel uncertainty (often &gt;30–50%)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GEDI / ICESat-2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Spaceborne LiDAR, ~25 m footprints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Canopy height &amp; biomass calibration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Sampled footprints, not wall-to-wall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Sentinel-2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Optical, 10 m, free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Boundary, land cover, change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Optical (cloud); indirect for biomass</w:t>
            </w:r>
          </w:p>
        </w:tc>
      </w:tr>
    </w:tbl>
    <w:p>
      <w:pPr>
        <w:pStyle w:val="BodyText"/>
      </w:pPr>
      <w:r>
        <w:rPr>
          <w:bCs/>
          <w:b/>
        </w:rPr>
        <w:t xml:space="preserve">On carbon density specifically</w:t>
      </w:r>
      <w:r>
        <w:t xml:space="preserve">, independent validation of global/free biomass products shows substantial error: global wall-to-wall maps report modest skill (for example, ~1 km products around R-squared 0.5–0.6 with root-mean-square error near 85–90 Mg/ha; some 30 m products lower), and fine-scale per-pixel uncertainty often runs</w:t>
      </w:r>
      <w:r>
        <w:t xml:space="preserve"> </w:t>
      </w:r>
      <w:r>
        <w:rPr>
          <w:bCs/>
          <w:b/>
        </w:rPr>
        <w:t xml:space="preserve">±30–50% or more</w:t>
      </w:r>
      <w:r>
        <w:t xml:space="preserve">, exceeding 50% in low-biomass or heterogeneous areas (ESA CCI Biomass; GEDI; multiple peer-reviewed validations).</w:t>
      </w:r>
    </w:p>
    <w:p>
      <w:pPr>
        <w:pStyle w:val="BlockText"/>
      </w:pPr>
      <w:r>
        <w:rPr>
          <w:bCs/>
          <w:b/>
        </w:rPr>
        <w:t xml:space="preserve">What helps you:</w:t>
      </w:r>
      <w:r>
        <w:t xml:space="preserve"> </w:t>
      </w:r>
      <w:r>
        <w:t xml:space="preserve">over a</w:t>
      </w:r>
      <w:r>
        <w:t xml:space="preserve"> </w:t>
      </w:r>
      <w:r>
        <w:rPr>
          <w:bCs/>
          <w:b/>
        </w:rPr>
        <w:t xml:space="preserve">large concession</w:t>
      </w:r>
      <w:r>
        <w:t xml:space="preserve"> </w:t>
      </w:r>
      <w:r>
        <w:t xml:space="preserve">(the tool’s 20,000 ha+ minimum), per-pixel errors partly average out, so the</w:t>
      </w:r>
      <w:r>
        <w:t xml:space="preserve"> </w:t>
      </w:r>
      <w:r>
        <w:rPr>
          <w:bCs/>
          <w:b/>
        </w:rPr>
        <w:t xml:space="preserve">relative</w:t>
      </w:r>
      <w:r>
        <w:t xml:space="preserve"> </w:t>
      </w:r>
      <w:r>
        <w:t xml:space="preserve">uncertainty on the</w:t>
      </w:r>
      <w:r>
        <w:t xml:space="preserve"> </w:t>
      </w:r>
      <w:r>
        <w:rPr>
          <w:iCs/>
          <w:i/>
        </w:rPr>
        <w:t xml:space="preserve">total</w:t>
      </w:r>
      <w:r>
        <w:t xml:space="preserve"> </w:t>
      </w:r>
      <w:r>
        <w:t xml:space="preserve">biomass is smaller than the per-pixel figure. This is why free data is genuinely useful for</w:t>
      </w:r>
      <w:r>
        <w:t xml:space="preserve"> </w:t>
      </w:r>
      <w:r>
        <w:rPr>
          <w:bCs/>
          <w:b/>
        </w:rPr>
        <w:t xml:space="preserve">screening at scale</w:t>
      </w:r>
      <w:r>
        <w:t xml:space="preserve"> </w:t>
      </w:r>
      <w:r>
        <w:t xml:space="preserve">— but the baseline term (Section 7) does not average away.</w:t>
      </w:r>
    </w:p>
    <w:bookmarkEnd w:id="24"/>
    <w:bookmarkStart w:id="25" w:name="X100d174ae1d40992573ee468bbb702bd6f180fc"/>
    <w:p>
      <w:pPr>
        <w:pStyle w:val="Heading2"/>
      </w:pPr>
      <w:r>
        <w:t xml:space="preserve">6. Accuracy of higher-resolution &amp; commercial data</w:t>
      </w:r>
    </w:p>
    <w:p>
      <w:pPr>
        <w:pStyle w:val="FirstParagraph"/>
      </w:pPr>
      <w:r>
        <w:t xml:space="preserve">Upgrading to airborne LiDAR, or commercial very-high-resolution optical/stereo (e.g. Planet, Maxar) and newer radar/LiDAR missions, materially tightens the</w:t>
      </w:r>
      <w:r>
        <w:t xml:space="preserve"> </w:t>
      </w:r>
      <w:r>
        <w:rPr>
          <w:bCs/>
          <w:b/>
        </w:rPr>
        <w:t xml:space="preserve">measurement</w:t>
      </w:r>
      <w:r>
        <w:t xml:space="preserve"> </w:t>
      </w:r>
      <w:r>
        <w:t xml:space="preserve">terms: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Biomass uncertainty</w:t>
      </w:r>
      <w:r>
        <w:t xml:space="preserve"> </w:t>
      </w:r>
      <w:r>
        <w:t xml:space="preserve">can fall to roughly</w:t>
      </w:r>
      <w:r>
        <w:t xml:space="preserve"> </w:t>
      </w:r>
      <w:r>
        <w:rPr>
          <w:bCs/>
          <w:b/>
        </w:rPr>
        <w:t xml:space="preserve">±15–20%</w:t>
      </w:r>
      <w:r>
        <w:t xml:space="preserve"> </w:t>
      </w:r>
      <w:r>
        <w:t xml:space="preserve">when calibrated with LiDAR. Peer-reviewed studies report %RMSE dropping from the low-30s to ~19–21% once LiDAR is added to radar/optical data.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Boundaries and small features</w:t>
      </w:r>
      <w:r>
        <w:t xml:space="preserve"> </w:t>
      </w:r>
      <w:r>
        <w:t xml:space="preserve">are resolved more precisely, helping with small or irregular plots.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Field-grade validation</w:t>
      </w:r>
      <w:r>
        <w:t xml:space="preserve"> </w:t>
      </w:r>
      <w:r>
        <w:t xml:space="preserve">still requires physically measuring and (for the strongest validation) destructively sampling trees — satellite estimates of any resolution are validated</w:t>
      </w:r>
      <w:r>
        <w:t xml:space="preserve"> </w:t>
      </w:r>
      <w:r>
        <w:rPr>
          <w:bCs/>
          <w:b/>
        </w:rPr>
        <w:t xml:space="preserve">indirectly</w:t>
      </w:r>
      <w:r>
        <w:t xml:space="preserve">.</w:t>
      </w:r>
    </w:p>
    <w:p>
      <w:pPr>
        <w:pStyle w:val="BlockText"/>
      </w:pPr>
      <w:r>
        <w:rPr>
          <w:bCs/>
          <w:b/>
        </w:rPr>
        <w:t xml:space="preserve">Honest ceiling.</w:t>
      </w:r>
      <w:r>
        <w:t xml:space="preserve"> </w:t>
      </w:r>
      <w:r>
        <w:t xml:space="preserve">Higher resolution moves you from</w:t>
      </w:r>
      <w:r>
        <w:t xml:space="preserve"> </w:t>
      </w:r>
      <w:r>
        <w:t xml:space="preserve">‘</w:t>
      </w:r>
      <w:r>
        <w:t xml:space="preserve">screening</w:t>
      </w:r>
      <w:r>
        <w:t xml:space="preserve">’</w:t>
      </w:r>
      <w:r>
        <w:t xml:space="preserve"> </w:t>
      </w:r>
      <w:r>
        <w:t xml:space="preserve">to</w:t>
      </w:r>
      <w:r>
        <w:t xml:space="preserve"> </w:t>
      </w:r>
      <w:r>
        <w:t xml:space="preserve">‘</w:t>
      </w:r>
      <w:r>
        <w:t xml:space="preserve">improved pre-feasibility</w:t>
      </w:r>
      <w:r>
        <w:t xml:space="preserve">’</w:t>
      </w:r>
      <w:r>
        <w:t xml:space="preserve"> </w:t>
      </w:r>
      <w:r>
        <w:t xml:space="preserve">— but it is still a</w:t>
      </w:r>
      <w:r>
        <w:t xml:space="preserve"> </w:t>
      </w:r>
      <w:r>
        <w:rPr>
          <w:bCs/>
          <w:b/>
        </w:rPr>
        <w:t xml:space="preserve">desktop</w:t>
      </w:r>
      <w:r>
        <w:t xml:space="preserve"> </w:t>
      </w:r>
      <w:r>
        <w:t xml:space="preserve">estimate with a</w:t>
      </w:r>
      <w:r>
        <w:t xml:space="preserve"> </w:t>
      </w:r>
      <w:r>
        <w:rPr>
          <w:bCs/>
          <w:b/>
        </w:rPr>
        <w:t xml:space="preserve">modelled baseline</w:t>
      </w:r>
      <w:r>
        <w:t xml:space="preserve"> </w:t>
      </w:r>
      <w:r>
        <w:t xml:space="preserve">and</w:t>
      </w:r>
      <w:r>
        <w:t xml:space="preserve"> </w:t>
      </w:r>
      <w:r>
        <w:rPr>
          <w:bCs/>
          <w:b/>
        </w:rPr>
        <w:t xml:space="preserve">no field plots</w:t>
      </w:r>
      <w:r>
        <w:t xml:space="preserve">. It does not, by itself, deliver high confidence on creditable volume. Claiming</w:t>
      </w:r>
      <w:r>
        <w:t xml:space="preserve"> </w:t>
      </w:r>
      <w:r>
        <w:t xml:space="preserve">“</w:t>
      </w:r>
      <w:r>
        <w:t xml:space="preserve">now we are 90% accurate</w:t>
      </w:r>
      <w:r>
        <w:t xml:space="preserve">”</w:t>
      </w:r>
      <w:r>
        <w:t xml:space="preserve"> </w:t>
      </w:r>
      <w:r>
        <w:t xml:space="preserve">after only a satellite swap would repeat the very mistake this report warns against.</w:t>
      </w:r>
    </w:p>
    <w:bookmarkEnd w:id="25"/>
    <w:bookmarkStart w:id="26" w:name="the-dominant-uncertainty-the-baseline"/>
    <w:p>
      <w:pPr>
        <w:pStyle w:val="Heading2"/>
      </w:pPr>
      <w:r>
        <w:t xml:space="preserve">7. The dominant uncertainty: the baseline</w:t>
      </w:r>
    </w:p>
    <w:p>
      <w:pPr>
        <w:pStyle w:val="FirstParagraph"/>
      </w:pPr>
      <w:r>
        <w:t xml:space="preserve">The evidence here is strong and recent, and it is the single most important point for credibility. Large-scale independent evaluations of issued forest-carbon credits have found systematic</w:t>
      </w:r>
      <w:r>
        <w:t xml:space="preserve"> </w:t>
      </w:r>
      <w:r>
        <w:rPr>
          <w:bCs/>
          <w:b/>
        </w:rPr>
        <w:t xml:space="preserve">over-crediting driven by the baseline</w:t>
      </w:r>
      <w:r>
        <w:t xml:space="preserve"> </w:t>
      </w:r>
      <w:r>
        <w:t xml:space="preserve">— not by the choice of satellite/forest-cover data: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Independent evaluation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Finding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West et al., 2023 (Science)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Emission reductions overstated for ~71% of evaluated REDD+ projects; net overestimation exceeding 17.6 million tCO2e.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Guizar-Coutiño / Cambridge, 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Across 18 projects in five countries, crude historical/regional baselines inflated apparent conservation success.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Haya et al. (Berkeley) / CMW, 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four methodologies behind almost all REDD+ credits showed large over-crediting; uncertainty lets participants pick credit-inflating assumptions.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Synthesis of 44 projects, 2026 (Nature Comms.)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Projects claimed in aggregate ~10.7× more avoided deforestation than independent estimates justify — driven by control-area selection and modelling,</w:t>
            </w:r>
            <w:r>
              <w:t xml:space="preserve"> </w:t>
            </w:r>
            <w:r>
              <w:rPr>
                <w:bCs/>
                <w:b/>
              </w:rPr>
              <w:t xml:space="preserve">not</w:t>
            </w:r>
            <w:r>
              <w:t xml:space="preserve"> </w:t>
            </w:r>
            <w:r>
              <w:t xml:space="preserve">by forest-cover data.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52-project study, 2025 (Science)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Only ~19% of projects met their reported emissions targets; on the order of one in eight tradable credits is supported by counterfactual analysis.</w:t>
            </w:r>
          </w:p>
        </w:tc>
      </w:tr>
    </w:tbl>
    <w:p>
      <w:pPr>
        <w:pStyle w:val="BlockText"/>
      </w:pPr>
      <w:r>
        <w:rPr>
          <w:bCs/>
          <w:b/>
        </w:rPr>
        <w:t xml:space="preserve">Why this matters for 180Climate.</w:t>
      </w:r>
      <w:r>
        <w:t xml:space="preserve"> </w:t>
      </w:r>
      <w:r>
        <w:t xml:space="preserve">The 2026 synthesis is explicit that the ~10.7× discrepancy was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driven by the choice of forest-cover data. In other words,</w:t>
      </w:r>
      <w:r>
        <w:t xml:space="preserve"> </w:t>
      </w:r>
      <w:r>
        <w:rPr>
          <w:bCs/>
          <w:b/>
        </w:rPr>
        <w:t xml:space="preserve">no satellite — free or paid — fixes the baseline problem.</w:t>
      </w:r>
      <w:r>
        <w:t xml:space="preserve"> </w:t>
      </w:r>
      <w:r>
        <w:t xml:space="preserve">Confidence in</w:t>
      </w:r>
      <w:r>
        <w:t xml:space="preserve"> </w:t>
      </w:r>
      <w:r>
        <w:rPr>
          <w:iCs/>
          <w:i/>
        </w:rPr>
        <w:t xml:space="preserve">creditable</w:t>
      </w:r>
      <w:r>
        <w:t xml:space="preserve"> </w:t>
      </w:r>
      <w:r>
        <w:t xml:space="preserve">volume comes from a defensible, ideally ex-post and independently set baseline, an accredited methodology, and third-party verification. The 180Climate tool therefore presents avoided-emissions as an</w:t>
      </w:r>
      <w:r>
        <w:t xml:space="preserve"> </w:t>
      </w:r>
      <w:r>
        <w:rPr>
          <w:bCs/>
          <w:b/>
        </w:rPr>
        <w:t xml:space="preserve">indicative range</w:t>
      </w:r>
      <w:r>
        <w:t xml:space="preserve"> </w:t>
      </w:r>
      <w:r>
        <w:t xml:space="preserve">and routes the baseline question to a qualified methodology advisor — it does not pretend to settle it.</w:t>
      </w:r>
    </w:p>
    <w:bookmarkEnd w:id="26"/>
    <w:bookmarkStart w:id="27" w:name="the-confidence-ladder-ipcc-tiers"/>
    <w:p>
      <w:pPr>
        <w:pStyle w:val="Heading2"/>
      </w:pPr>
      <w:r>
        <w:t xml:space="preserve">8. The confidence ladder (IPCC Tiers)</w:t>
      </w:r>
    </w:p>
    <w:p>
      <w:pPr>
        <w:pStyle w:val="FirstParagraph"/>
      </w:pPr>
      <w:r>
        <w:t xml:space="preserve">Reviewers think in IPCC Tiers. This is the credible way to describe where any estimate sits, and it maps cleanly onto 180Climate’s upgrade path: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basis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Typical biomass uncertainty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it credibly supports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Tier 1 — Screening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Free satellite + default/global factors (the free tool)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±30–50% (tighter when aggregated)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Go/no-go screening; lead qualification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Toward Tier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Higher-res / LiDAR-calibrated, region-specific 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≈ ±15–20%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Improved pre-feasibility; investment scoping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Tier 3 — Registry-grade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Field plots + accredited methodology + independent verification (VVB)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Lowest; project-specific, audited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Credit issuance, finance, sale</w:t>
            </w:r>
          </w:p>
        </w:tc>
      </w:tr>
    </w:tbl>
    <w:p>
      <w:pPr>
        <w:pStyle w:val="BlockText"/>
      </w:pPr>
      <w:r>
        <w:rPr>
          <w:bCs/>
          <w:b/>
        </w:rPr>
        <w:t xml:space="preserve">Strategic implication for your funnel.</w:t>
      </w:r>
      <w:r>
        <w:t xml:space="preserve"> </w:t>
      </w:r>
      <w:r>
        <w:t xml:space="preserve">The biggest jump in confidence is</w:t>
      </w:r>
      <w:r>
        <w:t xml:space="preserve"> </w:t>
      </w:r>
      <w:r>
        <w:rPr>
          <w:bCs/>
          <w:b/>
        </w:rPr>
        <w:t xml:space="preserve">Tier 1 → Tier 3</w:t>
      </w:r>
      <w:r>
        <w:t xml:space="preserve">, and it is driven by</w:t>
      </w:r>
      <w:r>
        <w:t xml:space="preserve"> </w:t>
      </w:r>
      <w:r>
        <w:rPr>
          <w:bCs/>
          <w:b/>
        </w:rPr>
        <w:t xml:space="preserve">field measurement + methodology + verification</w:t>
      </w:r>
      <w:r>
        <w:t xml:space="preserve">, not by satellite resolution. The most valuable paid step to offer a client is therefore a</w:t>
      </w:r>
      <w:r>
        <w:t xml:space="preserve"> </w:t>
      </w:r>
      <w:r>
        <w:rPr>
          <w:bCs/>
          <w:b/>
        </w:rPr>
        <w:t xml:space="preserve">professional pre-feasibility study with field validation</w:t>
      </w:r>
      <w:r>
        <w:t xml:space="preserve">; higher-resolution imagery is a useful intermediate rung, not the destination.</w:t>
      </w:r>
    </w:p>
    <w:bookmarkEnd w:id="27"/>
    <w:bookmarkStart w:id="28" w:name="what-180climate-can-and-cannot-claim"/>
    <w:p>
      <w:pPr>
        <w:pStyle w:val="Heading2"/>
      </w:pPr>
      <w:r>
        <w:t xml:space="preserve">9. What 180Climate can and cannot claim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Tool 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 credibly claim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Must NOT claim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Free (Tier 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Indicative, screening-grade avoided-emissions</w:t>
            </w:r>
            <w:r>
              <w:t xml:space="preserve"> </w:t>
            </w:r>
            <w:r>
              <w:rPr>
                <w:bCs/>
                <w:b/>
              </w:rPr>
              <w:t xml:space="preserve">range</w:t>
            </w:r>
            <w:r>
              <w:t xml:space="preserve">; suitable for go/no-go; order-of-magnitude.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single number; a</w:t>
            </w:r>
            <w:r>
              <w:t xml:space="preserve"> </w:t>
            </w:r>
            <w:r>
              <w:t xml:space="preserve">‘</w:t>
            </w:r>
            <w:r>
              <w:t xml:space="preserve">% accuracy</w:t>
            </w:r>
            <w:r>
              <w:t xml:space="preserve">’</w:t>
            </w:r>
            <w:r>
              <w:t xml:space="preserve">; a creditable/bankable volume; a financial projection.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Higher-res (toward Tier 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Improved pre-feasibility; tighter measurement; narrower range.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‘</w:t>
            </w:r>
            <w:r>
              <w:t xml:space="preserve">Registry-grade</w:t>
            </w:r>
            <w:r>
              <w:t xml:space="preserve">’</w:t>
            </w:r>
            <w:r>
              <w:t xml:space="preserve">; high confidence on issued credits; that the baseline is resolved.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Field-validated (Tier 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Registry-grade quantification — only after accredited methodology + independent verification.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Anything beyond what the validated methodology and verifier confirm.</w:t>
            </w:r>
          </w:p>
        </w:tc>
      </w:tr>
    </w:tbl>
    <w:p>
      <w:pPr>
        <w:pStyle w:val="BodyText"/>
      </w:pPr>
      <w:r>
        <w:t xml:space="preserve">In every case the user interface shows a</w:t>
      </w:r>
      <w:r>
        <w:t xml:space="preserve"> </w:t>
      </w:r>
      <w:r>
        <w:rPr>
          <w:bCs/>
          <w:b/>
        </w:rPr>
        <w:t xml:space="preserve">range, an uncertainty band, and the screening-grade qualifier</w:t>
      </w:r>
      <w:r>
        <w:t xml:space="preserve">. This restraint is not a weakness — for a technical audience it is precisely what signals that the tool is built by people who understand carbon quantification.</w:t>
      </w:r>
    </w:p>
    <w:bookmarkEnd w:id="28"/>
    <w:bookmarkStart w:id="29" w:name="data-source-architecture-vendor-swapping"/>
    <w:p>
      <w:pPr>
        <w:pStyle w:val="Heading2"/>
      </w:pPr>
      <w:r>
        <w:t xml:space="preserve">10. Data-source architecture &amp; vendor swapping</w:t>
      </w:r>
    </w:p>
    <w:p>
      <w:pPr>
        <w:pStyle w:val="FirstParagraph"/>
      </w:pPr>
      <w:r>
        <w:t xml:space="preserve">The tool is designed so the data source can be</w:t>
      </w:r>
      <w:r>
        <w:t xml:space="preserve"> </w:t>
      </w:r>
      <w:r>
        <w:rPr>
          <w:bCs/>
          <w:b/>
        </w:rPr>
        <w:t xml:space="preserve">swapped without rewriting the carbon engine</w:t>
      </w:r>
      <w:r>
        <w:t xml:space="preserve">. The engine consumes a fixed internal data contract (forest-loss and biomass inputs with an uncertainty band) regardless of which vendor supplies it. Practically:</w:t>
      </w:r>
    </w:p>
    <w:p>
      <w:pPr>
        <w:numPr>
          <w:ilvl w:val="0"/>
          <w:numId w:val="1003"/>
        </w:numPr>
        <w:pStyle w:val="Compact"/>
      </w:pPr>
      <w:r>
        <w:t xml:space="preserve">Changing provider (free maps → commercial hi-res → LiDAR) is a</w:t>
      </w:r>
      <w:r>
        <w:t xml:space="preserve"> </w:t>
      </w:r>
      <w:r>
        <w:rPr>
          <w:bCs/>
          <w:b/>
        </w:rPr>
        <w:t xml:space="preserve">configuration / adapter change</w:t>
      </w:r>
      <w:r>
        <w:t xml:space="preserve">, not a redesign.</w:t>
      </w:r>
    </w:p>
    <w:p>
      <w:pPr>
        <w:numPr>
          <w:ilvl w:val="0"/>
          <w:numId w:val="1003"/>
        </w:numPr>
        <w:pStyle w:val="Compact"/>
      </w:pPr>
      <w:r>
        <w:t xml:space="preserve">Each new vendor needs one small</w:t>
      </w:r>
      <w:r>
        <w:t xml:space="preserve"> </w:t>
      </w:r>
      <w:r>
        <w:rPr>
          <w:bCs/>
          <w:b/>
        </w:rPr>
        <w:t xml:space="preserve">adapter</w:t>
      </w:r>
      <w:r>
        <w:t xml:space="preserve"> </w:t>
      </w:r>
      <w:r>
        <w:t xml:space="preserve">to map its output into the tool’s data contract — a bounded, well-defined task.</w:t>
      </w:r>
    </w:p>
    <w:p>
      <w:pPr>
        <w:numPr>
          <w:ilvl w:val="0"/>
          <w:numId w:val="1003"/>
        </w:numPr>
        <w:pStyle w:val="Compact"/>
      </w:pPr>
      <w:r>
        <w:t xml:space="preserve">Because commercial imagery is priced per scene/area, higher resolution is requested</w:t>
      </w:r>
      <w:r>
        <w:t xml:space="preserve"> </w:t>
      </w:r>
      <w:r>
        <w:rPr>
          <w:bCs/>
          <w:b/>
        </w:rPr>
        <w:t xml:space="preserve">only for flagged or shortlisted plots</w:t>
      </w:r>
      <w:r>
        <w:t xml:space="preserve">, keeping cost controlled while preserving the option of a precision upgrade.</w:t>
      </w:r>
    </w:p>
    <w:bookmarkEnd w:id="29"/>
    <w:bookmarkStart w:id="30" w:name="assumptions"/>
    <w:p>
      <w:pPr>
        <w:pStyle w:val="Heading2"/>
      </w:pPr>
      <w:r>
        <w:t xml:space="preserve">11. Assumptions</w:t>
      </w:r>
    </w:p>
    <w:p>
      <w:pPr>
        <w:numPr>
          <w:ilvl w:val="0"/>
          <w:numId w:val="1004"/>
        </w:numPr>
        <w:pStyle w:val="Compact"/>
      </w:pPr>
      <w:r>
        <w:t xml:space="preserve">Estimates are for</w:t>
      </w:r>
      <w:r>
        <w:t xml:space="preserve"> </w:t>
      </w:r>
      <w:r>
        <w:rPr>
          <w:bCs/>
          <w:b/>
        </w:rPr>
        <w:t xml:space="preserve">large concessions (≥ 20,000 ha)</w:t>
      </w:r>
      <w:r>
        <w:t xml:space="preserve">, where aggregation reduces relative biomass error; small parcels carry proportionally higher uncertainty.</w:t>
      </w:r>
    </w:p>
    <w:p>
      <w:pPr>
        <w:numPr>
          <w:ilvl w:val="0"/>
          <w:numId w:val="1004"/>
        </w:numPr>
        <w:pStyle w:val="Compact"/>
      </w:pPr>
      <w:r>
        <w:t xml:space="preserve">The baseline reflects a</w:t>
      </w:r>
      <w:r>
        <w:t xml:space="preserve"> </w:t>
      </w:r>
      <w:r>
        <w:rPr>
          <w:bCs/>
          <w:b/>
        </w:rPr>
        <w:t xml:space="preserve">legally permitted harvest right being foregone</w:t>
      </w:r>
      <w:r>
        <w:t xml:space="preserve"> </w:t>
      </w:r>
      <w:r>
        <w:t xml:space="preserve">(HTI clear-fell or HA selective logging), consistent with the tool’s permit-type routing; it is indicative and advisor-confirmed, not an ex-post validated baseline.</w:t>
      </w:r>
    </w:p>
    <w:p>
      <w:pPr>
        <w:numPr>
          <w:ilvl w:val="0"/>
          <w:numId w:val="1004"/>
        </w:numPr>
        <w:pStyle w:val="Compact"/>
      </w:pPr>
      <w:r>
        <w:t xml:space="preserve">Free Earth-observation products are assumed fit for</w:t>
      </w:r>
      <w:r>
        <w:t xml:space="preserve"> </w:t>
      </w:r>
      <w:r>
        <w:rPr>
          <w:bCs/>
          <w:b/>
        </w:rPr>
        <w:t xml:space="preserve">screening</w:t>
      </w:r>
      <w:r>
        <w:t xml:space="preserve"> </w:t>
      </w:r>
      <w:r>
        <w:t xml:space="preserve">only; quoted uncertainty ranges are typical literature values for tropical/Indonesian forest types and will vary by site, canopy, terrain, and cloud cover.</w:t>
      </w:r>
    </w:p>
    <w:p>
      <w:pPr>
        <w:numPr>
          <w:ilvl w:val="0"/>
          <w:numId w:val="1004"/>
        </w:numPr>
        <w:pStyle w:val="Compact"/>
      </w:pPr>
      <w:r>
        <w:t xml:space="preserve">Carbon-stock figures use standard biomass-to-CO2e conversion and generic allometric/emission factors unless site data is supplied; this is appropriate for Tier 1 and is superseded by field measurement at Tier 3.</w:t>
      </w:r>
    </w:p>
    <w:p>
      <w:pPr>
        <w:numPr>
          <w:ilvl w:val="0"/>
          <w:numId w:val="1004"/>
        </w:numPr>
        <w:pStyle w:val="Compact"/>
      </w:pPr>
      <w:r>
        <w:t xml:space="preserve">All figures are</w:t>
      </w:r>
      <w:r>
        <w:t xml:space="preserve"> </w:t>
      </w:r>
      <w:r>
        <w:rPr>
          <w:bCs/>
          <w:b/>
        </w:rPr>
        <w:t xml:space="preserve">point-in-time</w:t>
      </w:r>
      <w:r>
        <w:t xml:space="preserve"> </w:t>
      </w:r>
      <w:r>
        <w:t xml:space="preserve">indicative estimates and are not adjusted for future market, policy, or permanence events.</w:t>
      </w:r>
    </w:p>
    <w:bookmarkEnd w:id="30"/>
    <w:bookmarkStart w:id="31" w:name="disclaimers"/>
    <w:p>
      <w:pPr>
        <w:pStyle w:val="Heading2"/>
      </w:pPr>
      <w:r>
        <w:t xml:space="preserve">12. Disclaimers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Indicative and screening-grade only.</w:t>
      </w:r>
      <w:r>
        <w:t xml:space="preserve"> </w:t>
      </w:r>
      <w:r>
        <w:t xml:space="preserve">Outputs are a first-pass estimate to support go/no-go decisions. They are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a registry-grade quantification and must not be used as the basis for issuing, forecasting, valuing, or trading carbon credits.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Not financial, investment, or legal advice.</w:t>
      </w:r>
      <w:r>
        <w:t xml:space="preserve"> </w:t>
      </w:r>
      <w:r>
        <w:t xml:space="preserve">Nothing here is a representation that any project will be eligible, registrable, or financially viable, or that any specific volume of credits will be issued.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Ranges, not guarantees.</w:t>
      </w:r>
      <w:r>
        <w:t xml:space="preserve"> </w:t>
      </w:r>
      <w:r>
        <w:t xml:space="preserve">Every carbon figure is an estimate with material uncertainty, expressed as a range and band. No single accuracy percentage is, or should be, claimed.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Confirmation required.</w:t>
      </w:r>
      <w:r>
        <w:t xml:space="preserve"> </w:t>
      </w:r>
      <w:r>
        <w:t xml:space="preserve">Any project decision should be confirmed by a full feasibility study including field measurement, an accredited methodology, and independent third-party validation/verification by an accredited body.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Data and methodology evolve.</w:t>
      </w:r>
      <w:r>
        <w:t xml:space="preserve"> </w:t>
      </w:r>
      <w:r>
        <w:t xml:space="preserve">Carbon standards, methodologies, eligibility rules, and the EUDR framework change; figures reflect the data and rules available at the date of this document.</w:t>
      </w:r>
    </w:p>
    <w:bookmarkEnd w:id="31"/>
    <w:bookmarkStart w:id="32" w:name="standards-references"/>
    <w:p>
      <w:pPr>
        <w:pStyle w:val="Heading2"/>
      </w:pPr>
      <w:r>
        <w:t xml:space="preserve">13. Standards &amp; references</w:t>
      </w:r>
    </w:p>
    <w:p>
      <w:pPr>
        <w:numPr>
          <w:ilvl w:val="0"/>
          <w:numId w:val="1006"/>
        </w:numPr>
        <w:pStyle w:val="Compact"/>
      </w:pPr>
      <w:r>
        <w:t xml:space="preserve">IPCC (2006; 2019 Refinement) Guidelines for National GHG Inventories, Vol. 4 (AFOLU) — Tier framework and uncertainty.</w:t>
      </w:r>
    </w:p>
    <w:p>
      <w:pPr>
        <w:numPr>
          <w:ilvl w:val="0"/>
          <w:numId w:val="1006"/>
        </w:numPr>
        <w:pStyle w:val="Compact"/>
      </w:pPr>
      <w:r>
        <w:t xml:space="preserve">GFOI — Integration of Remote-Sensing and Ground Data: Methods &amp; Guidance Documentation (MGD).</w:t>
      </w:r>
    </w:p>
    <w:p>
      <w:pPr>
        <w:numPr>
          <w:ilvl w:val="0"/>
          <w:numId w:val="1006"/>
        </w:numPr>
        <w:pStyle w:val="Compact"/>
      </w:pPr>
      <w:r>
        <w:t xml:space="preserve">CEOS / GFOI biomass and forest-cover-change good-practice guidance.</w:t>
      </w:r>
    </w:p>
    <w:p>
      <w:pPr>
        <w:numPr>
          <w:ilvl w:val="0"/>
          <w:numId w:val="1006"/>
        </w:numPr>
        <w:pStyle w:val="Compact"/>
      </w:pPr>
      <w:r>
        <w:t xml:space="preserve">Verra VCS methodologies referenced by permit type: APD; IFM (VM0010 / VM0045); peat (VM0027, interim); and the AUD family (VM0048 / VMD0055) shown for contrast only.</w:t>
      </w:r>
    </w:p>
    <w:p>
      <w:pPr>
        <w:numPr>
          <w:ilvl w:val="0"/>
          <w:numId w:val="1006"/>
        </w:numPr>
        <w:pStyle w:val="Compact"/>
      </w:pPr>
      <w:r>
        <w:t xml:space="preserve">West, T.A.P. et al. (2023)</w:t>
      </w:r>
      <w:r>
        <w:t xml:space="preserve"> </w:t>
      </w:r>
      <w:r>
        <w:t xml:space="preserve">‘</w:t>
      </w:r>
      <w:r>
        <w:t xml:space="preserve">Action needed to make carbon offsets from forest conservation work</w:t>
      </w:r>
      <w:r>
        <w:t xml:space="preserve">’</w:t>
      </w:r>
      <w:r>
        <w:t xml:space="preserve">, Science.</w:t>
      </w:r>
    </w:p>
    <w:p>
      <w:pPr>
        <w:numPr>
          <w:ilvl w:val="0"/>
          <w:numId w:val="1006"/>
        </w:numPr>
        <w:pStyle w:val="Compact"/>
      </w:pPr>
      <w:r>
        <w:t xml:space="preserve">Guizar-Coutiño, A. et al. (2023) global evaluation of voluntary REDD+ effectiveness (Cambridge / VU Amsterdam).</w:t>
      </w:r>
    </w:p>
    <w:p>
      <w:pPr>
        <w:numPr>
          <w:ilvl w:val="0"/>
          <w:numId w:val="1006"/>
        </w:numPr>
        <w:pStyle w:val="Compact"/>
      </w:pPr>
      <w:r>
        <w:t xml:space="preserve">Haya, B. et al. (2023) over-crediting assessment of REDD+ methodologies (UC Berkeley / Carbon Market Watch).</w:t>
      </w:r>
    </w:p>
    <w:p>
      <w:pPr>
        <w:numPr>
          <w:ilvl w:val="0"/>
          <w:numId w:val="1006"/>
        </w:numPr>
        <w:pStyle w:val="Compact"/>
      </w:pPr>
      <w:r>
        <w:t xml:space="preserve">Synthesis of 44 REDD+ projects (2026) on over-crediting mechanisms, Nature Communications.</w:t>
      </w:r>
    </w:p>
    <w:p>
      <w:pPr>
        <w:numPr>
          <w:ilvl w:val="0"/>
          <w:numId w:val="1006"/>
        </w:numPr>
        <w:pStyle w:val="Compact"/>
      </w:pPr>
      <w:r>
        <w:t xml:space="preserve">52-project evaluation (2025) of tropical forest offsets, Science.</w:t>
      </w:r>
    </w:p>
    <w:p>
      <w:pPr>
        <w:numPr>
          <w:ilvl w:val="0"/>
          <w:numId w:val="1006"/>
        </w:numPr>
        <w:pStyle w:val="Compact"/>
      </w:pPr>
      <w:r>
        <w:t xml:space="preserve">Santoro, M. &amp; Cartus, O. — ESA CCI Biomass product and validation.</w:t>
      </w:r>
    </w:p>
    <w:p>
      <w:pPr>
        <w:numPr>
          <w:ilvl w:val="0"/>
          <w:numId w:val="1006"/>
        </w:numPr>
        <w:pStyle w:val="Compact"/>
      </w:pPr>
      <w:r>
        <w:t xml:space="preserve">Dubayah, R. et al. — GEDI L4 aboveground biomass density and uncertainty.</w:t>
      </w:r>
    </w:p>
    <w:p>
      <w:pPr>
        <w:numPr>
          <w:ilvl w:val="0"/>
          <w:numId w:val="1006"/>
        </w:numPr>
        <w:pStyle w:val="Compact"/>
      </w:pPr>
      <w:r>
        <w:t xml:space="preserve">Hansen, M.C. et al. — Global Forest Change; JRC Tropical Moist Forest; RADD (Wageningen) deforestation alerts.</w:t>
      </w:r>
    </w:p>
    <w:bookmarkEnd w:id="32"/>
    <w:bookmarkStart w:id="33" w:name="disciplines-applied-in-this-report"/>
    <w:p>
      <w:pPr>
        <w:pStyle w:val="Heading2"/>
      </w:pPr>
      <w:r>
        <w:t xml:space="preserve">14. Disciplines applied in this report</w:t>
      </w:r>
    </w:p>
    <w:p>
      <w:pPr>
        <w:pStyle w:val="FirstParagraph"/>
      </w:pPr>
      <w:r>
        <w:t xml:space="preserve">This assessment draws on, and is intended to be read against, the following forest-carbon and Earth-observation competencies — stated so a specialist reviewer can see the basis of the analysis: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Forest mensuration &amp; allometry</w:t>
      </w:r>
      <w:r>
        <w:t xml:space="preserve"> </w:t>
      </w:r>
      <w:r>
        <w:t xml:space="preserve">— biomass and carbon-stock estimation from forest structure.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GHG inventory practice (IPCC Tiers)</w:t>
      </w:r>
      <w:r>
        <w:t xml:space="preserve"> </w:t>
      </w:r>
      <w:r>
        <w:t xml:space="preserve">— uncertainty classification and good-practice quantification.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REDD+ / VCS methodology</w:t>
      </w:r>
      <w:r>
        <w:t xml:space="preserve"> </w:t>
      </w:r>
      <w:r>
        <w:t xml:space="preserve">— baselines, additionality, leakage, permanence, and buffer accounting.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Optical &amp; radar (SAR) remote sensing</w:t>
      </w:r>
      <w:r>
        <w:t xml:space="preserve"> </w:t>
      </w:r>
      <w:r>
        <w:t xml:space="preserve">— land-cover and forest-change detection (Sentinel-1/2, Landsat).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Spaceborne &amp; airborne LiDAR</w:t>
      </w:r>
      <w:r>
        <w:t xml:space="preserve"> </w:t>
      </w:r>
      <w:r>
        <w:t xml:space="preserve">— canopy height and biomass calibration (GEDI, ICESat-2, ALS).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Uncertainty propagation &amp; error analysis</w:t>
      </w:r>
      <w:r>
        <w:t xml:space="preserve"> </w:t>
      </w:r>
      <w:r>
        <w:t xml:space="preserve">— RMSE/%RMSE, confidence intervals, aggregation effects.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Additionality / baseline econometrics</w:t>
      </w:r>
      <w:r>
        <w:t xml:space="preserve"> </w:t>
      </w:r>
      <w:r>
        <w:t xml:space="preserve">— counterfactual and control-area methods underpinning credit integrity.</w:t>
      </w:r>
    </w:p>
    <w:bookmarkEnd w:id="33"/>
    <w:bookmarkStart w:id="34" w:name="take-the-next-step-with-180climate"/>
    <w:p>
      <w:pPr>
        <w:pStyle w:val="Heading2"/>
      </w:pPr>
      <w:r>
        <w:t xml:space="preserve">15. Take the next step with 180Climate</w:t>
      </w:r>
    </w:p>
    <w:p>
      <w:pPr>
        <w:pStyle w:val="FirstParagraph"/>
      </w:pPr>
      <w:r>
        <w:t xml:space="preserve">This screening estimate is the starting point, not the destination. Moving from an indicative Tier 1 figure to a financeable, registry-grade project takes expertise that 180Climate provides end to end: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Full pre-feasibility &amp; feasibility study</w:t>
      </w:r>
      <w:r>
        <w:t xml:space="preserve"> </w:t>
      </w:r>
      <w:r>
        <w:t xml:space="preserve">— turning this screening range into a defensible, site-specific estimate.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Field measurement &amp; validation</w:t>
      </w:r>
      <w:r>
        <w:t xml:space="preserve"> </w:t>
      </w:r>
      <w:r>
        <w:t xml:space="preserve">— ground plots and allometric sampling that move you from Tier 1 toward Tier 3, the single biggest gain in confidence.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Methodology &amp; baseline advisory</w:t>
      </w:r>
      <w:r>
        <w:t xml:space="preserve"> </w:t>
      </w:r>
      <w:r>
        <w:t xml:space="preserve">— selecting and confirming the correct Verra methodology by permit type, and building a defensible, independently set baseline (the dominant driver of credit integrity).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Higher-resolution &amp; LiDAR analysis</w:t>
      </w:r>
      <w:r>
        <w:t xml:space="preserve"> </w:t>
      </w:r>
      <w:r>
        <w:t xml:space="preserve">— narrowing the measurement uncertainty for shortlisted concessions.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EUDR compliance &amp; export-readiness</w:t>
      </w:r>
      <w:r>
        <w:t xml:space="preserve"> </w:t>
      </w:r>
      <w:r>
        <w:t xml:space="preserve">— due-diligence statements, geolocation packs, and the 31 December 2020 deforestation-free assessment.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Project development, verification &amp; market access</w:t>
      </w:r>
      <w:r>
        <w:t xml:space="preserve"> </w:t>
      </w:r>
      <w:r>
        <w:t xml:space="preserve">— guiding the project through accredited validation/verification and connecting it to finance and credit buyers.</w:t>
      </w:r>
    </w:p>
    <w:p>
      <w:pPr>
        <w:pStyle w:val="BlockText"/>
      </w:pPr>
      <w:r>
        <w:rPr>
          <w:bCs/>
          <w:b/>
        </w:rPr>
        <w:t xml:space="preserve">Contact 180Climate</w:t>
      </w:r>
      <w:r>
        <w:t xml:space="preserve"> </w:t>
      </w:r>
      <w:r>
        <w:t xml:space="preserve">to discuss your concession and the path from screening to a registry-grade, financeable project —</w:t>
      </w:r>
      <w:r>
        <w:t xml:space="preserve"> </w:t>
      </w:r>
      <w:r>
        <w:rPr>
          <w:bCs/>
          <w:b/>
        </w:rPr>
        <w:t xml:space="preserve">info@180climate.net</w:t>
      </w:r>
      <w:r>
        <w:t xml:space="preserve"> </w:t>
      </w:r>
      <w:r>
        <w:t xml:space="preserve">· www.180climate.net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Prepared as a methodology and limitations reference for the 180Climate Forest Carbon Pre-Feasibility Screening Tool. Figures are indicative and provided in good faith on the basis of openly available science and data; they carry the uncertainties described above and are subject to the disclaimers in Section 12.</w:t>
      </w:r>
    </w:p>
    <w:bookmarkEnd w:id="3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Forest Carbon Estimation: Confidence, Accuracy &amp; Uncertainty</dc:title>
  <dc:creator>A methodology and limitations reference for the 180Climate Forest Carbon Pre-Feasibility Screening Tool</dc:creator>
  <cp:keywords/>
  <dcterms:created xsi:type="dcterms:W3CDTF">2026-06-23T12:40:09Z</dcterms:created>
  <dcterms:modified xsi:type="dcterms:W3CDTF">2026-06-23T12:40:09Z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180Climate · v1.0 · 23 June 2026</vt:lpwstr>
  </property>
</Properties>
</file>