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019256591797" w:lineRule="auto"/>
        <w:ind w:left="13.7255859375" w:right="1169.1436767578125" w:firstLine="13.2743835449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Pr>
        <w:drawing>
          <wp:inline distB="19050" distT="19050" distL="19050" distR="19050">
            <wp:extent cx="915035" cy="9142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035" cy="914209"/>
                    </a:xfrm>
                    <a:prstGeom prst="rect"/>
                    <a:ln/>
                  </pic:spPr>
                </pic:pic>
              </a:graphicData>
            </a:graphic>
          </wp:inline>
        </w:drawing>
      </w: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Plan Check Correction List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379028320312"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Building &amp; Safety Division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Planning and Development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755859375" w:line="279.88780975341797" w:lineRule="auto"/>
        <w:ind w:left="20.640029907226562" w:right="61.12060546875" w:hanging="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B2024-00273 April 1, 2024 Project Address: 2732 Claremont Blvd.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149414062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Project Applicant,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814208984375" w:lineRule="auto"/>
        <w:ind w:left="8.39996337890625" w:right="67.3608398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of Berkeley has completed review of the construction documents submitted under the  building permit application number specified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65816020965576" w:lineRule="auto"/>
        <w:ind w:left="3.3599853515625" w:right="0" w:firstLine="17.280044555664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Plans revised in response to corrections must be accompanied with a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written response letter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which explicitly addresses each correction and the corresponding plan sheet number, revision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number and date.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 full plan set of ALL construction drawings is required when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responding to corrections. Incomplete or unclear responses to corrections may result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 delays.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159667968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formatting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03857421875" w:line="240.23715019226074" w:lineRule="auto"/>
        <w:ind w:left="372.4800109863281" w:right="378.400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documents must be submitted in electronic format, as unsecured PDF files.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multiple pages must be combined and named according to content.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that are incomplete or improperly formatted will not be processed.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Enforcement cases must be indicated by case number. Dates specified in Notice(s) of Violation take precedence over any timelines specified in this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23730468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submittal options (choose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29.90804195404053" w:lineRule="auto"/>
        <w:ind w:left="384.2399597167969" w:right="44.5605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Permits 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documents directly to the permit record at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Permits Online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selecting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Record Info &gt; Attachments &gt; Add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are accessible  from the registered Accela Citizen Access (ACA) account associated with the permit.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804195404053" w:lineRule="auto"/>
        <w:ind w:left="727.6800537109375" w:right="524.320068359375" w:hanging="36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for in-person processing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Service Center webpage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for all in-person submittals, documents must be  saved on a USB thumb drive.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9704284668" w:lineRule="auto"/>
        <w:ind w:left="3.3599853515625" w:right="70.081787109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Expiration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for a permit for any proposed work shall expire  one year after the date of filing, unless it can be demonstrated by the applicant that such  application has been pursued in good faith or a permit has been issued. The building official or  the permit service center coordinator are authorized to grant one or more extensions of time  for additional periods not exceeding a 180 days per extension. The extension shall be  requested in writing and justifiable cause demonstrated. Requests for time extensions shall be  accompanied by the payment of a fee set by resolution of the City Council. [BMC 105.3.2]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04833984375" w:line="229.90804195404053" w:lineRule="auto"/>
        <w:ind w:left="9.599990844726562" w:right="323.200683593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for an application extension, complete an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and  choose one of the two submittal options listed above.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ff"/>
          <w:sz w:val="17.040000915527344"/>
          <w:szCs w:val="17.040000915527344"/>
          <w:u w:val="none"/>
          <w:shd w:fill="auto" w:val="clear"/>
          <w:vertAlign w:val="baseline"/>
          <w:rtl w:val="0"/>
        </w:rPr>
        <w:t xml:space="preserve">Internal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938110351562"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 Service Center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2510375976562"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Building &amp; Safety Division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Planning and Development Department April 1, 2024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634765625" w:line="233.3834409713745" w:lineRule="auto"/>
        <w:ind w:left="0" w:right="63.784179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single"/>
          <w:shd w:fill="auto" w:val="clear"/>
          <w:vertAlign w:val="baseline"/>
          <w:rtl w:val="0"/>
        </w:rPr>
        <w:t xml:space="preserve">Building and Safety Prepared by: Andrew Cockrell</w:t>
      </w: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 B2024-00273 2732 Claremont Boulevard acockrell@berkeleyca.gov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6.15997314453125" w:right="70.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Please clarify whether the proposed work is intended to qualify for transfer tax rebate or  similar program. The plans indicate only a portion of the house to be seismically  strengthened per Plan Set A, which does not qualify without an engineered analysis.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79876708984" w:lineRule="auto"/>
        <w:ind w:left="730.3199768066406" w:right="17.9260253906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PC2: As the work is intended to qualify for EBB Brace &amp; Bolt, it must comply with Plan  Set A, California Existing Building Code Appendix Chapter A3, or an engineered design.  Please either revise to demonstrate compliance with one of these options, or indicate  that the permit is not intended to qualify for EBB Brace &amp; Bolt.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29.90779876708984" w:lineRule="auto"/>
        <w:ind w:left="729.8394775390625" w:right="153.57666015625" w:hanging="0.2400207519531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PC3: The plans were revised to address the previous comments by indicating  new braced walls where no walls previously existed. This is beyond the scope of  a Plan Set A, which is intended to document reinforcement of existing cripple  walls, not construction of new walls where none exist, associated footings,  framing, etc. Please either: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119384765625" w:line="230.9078550338745" w:lineRule="auto"/>
        <w:ind w:left="1445.279541015625" w:right="273.599853515625" w:hanging="352.799224853515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Submit complete documents for the proposed scope of work as currently  shown. This would not qualify for Brace &amp; Bolt.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121826171875" w:line="229.90779876708984" w:lineRule="auto"/>
        <w:ind w:left="1449.599609375" w:right="449.930419921875" w:hanging="357.120056152343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Submit the drawings as previously shown, and note that the work is not  intended to qualify for Brace &amp; Bolt.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119384765625" w:line="230.9078550338745" w:lineRule="auto"/>
        <w:ind w:left="1437.5994873046875" w:right="75.625" w:hanging="345.119934082031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Submit drawings demonstrating that the scope of work is only per Plan Set  A and complies with the requirements of Plan Set 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29.90779876708984" w:lineRule="auto"/>
        <w:ind w:left="729.8394775390625" w:right="595.130615234375" w:hanging="355.19989013671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PC3: The reproduction quality of the submitted plans is only partially legible.  Please submit clearly legible drawings.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6220703125" w:line="229.90792751312256" w:lineRule="auto"/>
        <w:ind w:left="372.2395324707031" w:right="113.9013671875"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 PC3: Please note that this is the third round of corrections issued for this permit  application. The initial plan check fees assessed are limited to three plan reviews  and approval of the construction documents. If the resubmitted construction  documents warrant a fourth round of comments, that review and all subsequent  reviews will be assessed a $200 per hour plan check fee due at permit issuance.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2353515625"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27.4400329589844" w:right="764.3249511718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drawings indicate less total bracing length than required in the reinforcement  schedule 4/S1. Please revise accordingly.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29944610596" w:lineRule="auto"/>
        <w:ind w:left="726.2399291992188" w:right="283.199462890625" w:firstLine="4.080047607421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PC2: The drawings indicate openings in the braced walls that reduce the total bracing  length. The previous comment stands.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29944610596" w:lineRule="auto"/>
        <w:ind w:left="729.6000671386719" w:right="286.79931640625" w:firstLine="0.2398681640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PC3: Comment stands; please see Administrative item 1. Plan Set A is intended  to document reinforcement of existing cripple walls, not construction of new  walls where none exist, associated footings, framing, etc. Please resubmit as  indicated in Administrative Item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0099487304688" w:line="229.9079418182373" w:lineRule="auto"/>
        <w:ind w:left="11.608047485351562" w:right="70.8837890625" w:firstLine="5.7883453369140625"/>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1947 Center Street – 3</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Floor Tel: (510) 981-7440 Berkeley, CA 94704-1113 TDD: (510) 981-7450 </w:t>
      </w:r>
      <w:r w:rsidDel="00000000" w:rsidR="00000000" w:rsidRPr="00000000">
        <w:rPr>
          <w:rFonts w:ascii="Arial" w:cs="Arial" w:eastAsia="Arial" w:hAnsi="Arial"/>
          <w:b w:val="0"/>
          <w:i w:val="0"/>
          <w:smallCaps w:val="0"/>
          <w:strike w:val="0"/>
          <w:color w:val="0000ff"/>
          <w:sz w:val="15.960000038146973"/>
          <w:szCs w:val="15.960000038146973"/>
          <w:u w:val="single"/>
          <w:shd w:fill="auto" w:val="clear"/>
          <w:vertAlign w:val="baseline"/>
          <w:rtl w:val="0"/>
        </w:rPr>
        <w:t xml:space="preserve">BuildingandSafety@CityofBerkeley.info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1 of 1 Fax: (510) 981-7450 </w:t>
      </w:r>
    </w:p>
    <w:sectPr>
      <w:pgSz w:h="15840" w:w="12240" w:orient="portrait"/>
      <w:pgMar w:bottom="938.5199737548828" w:top="709.19921875" w:left="1080" w:right="1018.07983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