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xbtpt62qy6fl" w:id="0"/>
      <w:bookmarkEnd w:id="0"/>
      <w:r w:rsidDel="00000000" w:rsidR="00000000" w:rsidRPr="00000000">
        <w:rPr>
          <w:rtl w:val="0"/>
        </w:rPr>
        <w:t xml:space="preserve">Control de acceso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right" w:leader="none" w:pos="9330"/>
        </w:tabs>
        <w:rPr/>
      </w:pPr>
      <w:r w:rsidDel="00000000" w:rsidR="00000000" w:rsidRPr="00000000">
        <w:rPr>
          <w:rtl w:val="0"/>
        </w:rPr>
        <w:t xml:space="preserve">Para implementar una aplicación con control de acceso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sobre</w:t>
      </w:r>
      <w:r w:rsidDel="00000000" w:rsidR="00000000" w:rsidRPr="00000000">
        <w:rPr>
          <w:rtl w:val="0"/>
        </w:rPr>
        <w:t xml:space="preserve"> los recursos protegidos mediante securización declarativa: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en el servidor (GlassFish) se implementa la autenticación: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tl w:val="0"/>
        </w:rPr>
        <w:t xml:space="preserve">definir en el realm las credenciales de los usuarios y los grupos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en la aplicación (fichero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web.xml</w:t>
      </w:r>
      <w:r w:rsidDel="00000000" w:rsidR="00000000" w:rsidRPr="00000000">
        <w:rPr>
          <w:rtl w:val="0"/>
        </w:rPr>
        <w:t xml:space="preserve">) se implementa la autorización: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tl w:val="0"/>
        </w:rPr>
        <w:t xml:space="preserve">seleccionar el método de acceso seguro (Login Configuration)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tl w:val="0"/>
        </w:rPr>
        <w:t xml:space="preserve">declarar la política de seguridad que se utilizará en el servidor (Realm Name)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tl w:val="0"/>
        </w:rPr>
        <w:t xml:space="preserve">definir los roles para el acceso a los recursos securizados (Security Roles)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tl w:val="0"/>
        </w:rPr>
        <w:t xml:space="preserve">para cada rol, definir las restricciones de acceso sobre los recursos (Security Constraints)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en el servidor o desde la aplicación: asignación (o mapeo) de los roles definidos en la aplicación sobre los usuarios/grupos definidos en el servidor. El mapeo puede ser: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tl w:val="0"/>
        </w:rPr>
        <w:t xml:space="preserve">manual, identificando el rol sobre el usuario/grupo en el fichero de configuración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glassfish-web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xml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tl w:val="0"/>
        </w:rPr>
        <w:t xml:space="preserve">automático: usando los mismos nombres en la aplicación y el servidor (habilitando en el servidor la opción de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Default Principal to Role Mapping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pStyle w:val="Heading2"/>
        <w:tabs>
          <w:tab w:val="right" w:leader="none" w:pos="9330"/>
        </w:tabs>
        <w:ind w:left="0" w:firstLine="0"/>
        <w:rPr/>
      </w:pPr>
      <w:bookmarkStart w:colFirst="0" w:colLast="0" w:name="_lid6p6ox3rwi" w:id="1"/>
      <w:bookmarkEnd w:id="1"/>
      <w:r w:rsidDel="00000000" w:rsidR="00000000" w:rsidRPr="00000000">
        <w:rPr>
          <w:rtl w:val="0"/>
        </w:rPr>
        <w:t xml:space="preserve">Asignación de roles MANUAL</w:t>
      </w:r>
    </w:p>
    <w:p w:rsidR="00000000" w:rsidDel="00000000" w:rsidP="00000000" w:rsidRDefault="00000000" w:rsidRPr="00000000" w14:paraId="0000000E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realizar la asignación rol → usuario/grupo desde la aplicación tendremos que añadir al proyecto un nuevo fichero de configuración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glassfish-web.xml </w:t>
      </w:r>
      <w:r w:rsidDel="00000000" w:rsidR="00000000" w:rsidRPr="00000000">
        <w:rPr>
          <w:rtl w:val="0"/>
        </w:rPr>
        <w:t xml:space="preserve">(categoría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Glassfish</w:t>
      </w:r>
      <w:r w:rsidDel="00000000" w:rsidR="00000000" w:rsidRPr="00000000">
        <w:rPr>
          <w:rtl w:val="0"/>
        </w:rPr>
        <w:t xml:space="preserve"> tipo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Glassfish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Descriptor</w:t>
      </w:r>
      <w:r w:rsidDel="00000000" w:rsidR="00000000" w:rsidRPr="00000000">
        <w:rPr>
          <w:rtl w:val="0"/>
        </w:rPr>
        <w:t xml:space="preserve">). Este fichero es el que configura los roles en GlassFish durante la fase de despliegue de la aplicación.</w:t>
      </w:r>
    </w:p>
    <w:p w:rsidR="00000000" w:rsidDel="00000000" w:rsidP="00000000" w:rsidRDefault="00000000" w:rsidRPr="00000000" w14:paraId="0000000F">
      <w:pPr>
        <w:pageBreakBefore w:val="0"/>
        <w:tabs>
          <w:tab w:val="right" w:leader="none" w:pos="9330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9175" cy="29236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23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tabs>
          <w:tab w:val="right" w:leader="none" w:pos="9330"/>
        </w:tabs>
        <w:ind w:left="0" w:firstLine="0"/>
        <w:rPr/>
      </w:pPr>
      <w:bookmarkStart w:colFirst="0" w:colLast="0" w:name="_9yjchmflrywx" w:id="2"/>
      <w:bookmarkEnd w:id="2"/>
      <w:r w:rsidDel="00000000" w:rsidR="00000000" w:rsidRPr="00000000">
        <w:rPr>
          <w:rtl w:val="0"/>
        </w:rPr>
        <w:t xml:space="preserve">Asignación de roles AUTOMÁTICA</w:t>
      </w:r>
    </w:p>
    <w:p w:rsidR="00000000" w:rsidDel="00000000" w:rsidP="00000000" w:rsidRDefault="00000000" w:rsidRPr="00000000" w14:paraId="00000011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el caso en el NO se utilice un fichero de despliegue para la asignación rol →  usuario/grupo simplemente deberemos habilitar en el servidor la opción de mapeo automático (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Configurations → server-config → Security → Default Principal to Role Mapping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ageBreakBefore w:val="0"/>
        <w:tabs>
          <w:tab w:val="right" w:leader="none" w:pos="9330"/>
        </w:tabs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</w:rPr>
        <w:drawing>
          <wp:inline distB="114300" distT="114300" distL="114300" distR="114300">
            <wp:extent cx="5697452" cy="344328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60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452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3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30"/>
        </w:tabs>
        <w:ind w:left="0" w:firstLine="0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  <w:t xml:space="preserve">IMPORTANTE: Para que el mapeo automático entre el rol (definido en la aplicación) y el usuario/grupo (definidos en el servidor GlassFish en 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Configurations → server-config → Security → Realms → file → Manage Users</w:t>
      </w:r>
      <w:r w:rsidDel="00000000" w:rsidR="00000000" w:rsidRPr="00000000">
        <w:rPr>
          <w:rtl w:val="0"/>
        </w:rPr>
        <w:t xml:space="preserve">) se realice correctamente, el nombre del grupo del servidor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) debe coincidir exactamente con el rol definido en el fichero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xml</w:t>
      </w:r>
      <w:r w:rsidDel="00000000" w:rsidR="00000000" w:rsidRPr="00000000">
        <w:rPr>
          <w:rtl w:val="0"/>
        </w:rPr>
        <w:t xml:space="preserve"> de la aplicación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right" w:leader="none" w:pos="9330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1375" cy="301434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01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30"/>
        </w:tabs>
        <w:rPr/>
      </w:pPr>
      <w:r w:rsidDel="00000000" w:rsidR="00000000" w:rsidRPr="00000000">
        <w:rPr>
          <w:rtl w:val="0"/>
        </w:rPr>
        <w:t xml:space="preserve">En el realm de GlassFish aparecen definidas las credenciales para los usuarios pertenecientes a los grupos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adminUser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clientUser</w:t>
      </w:r>
      <w:r w:rsidDel="00000000" w:rsidR="00000000" w:rsidRPr="00000000">
        <w:rPr>
          <w:rtl w:val="0"/>
        </w:rPr>
        <w:t xml:space="preserve"> (autenticación).</w:t>
      </w:r>
    </w:p>
    <w:p w:rsidR="00000000" w:rsidDel="00000000" w:rsidP="00000000" w:rsidRDefault="00000000" w:rsidRPr="00000000" w14:paraId="00000017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>
          <w:rtl w:val="0"/>
        </w:rPr>
        <w:t xml:space="preserve">Desde la aplicación y a través del fichero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xml</w:t>
      </w:r>
      <w:r w:rsidDel="00000000" w:rsidR="00000000" w:rsidRPr="00000000">
        <w:rPr>
          <w:rtl w:val="0"/>
        </w:rPr>
        <w:t xml:space="preserve"> asignamos automáticamente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Principal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activado en el servidor) los recursos a los que tiene acceso cada grupo (autorización). El nombre del grupo en GlassFish debe coincidir exactamente con el nombre del role en el fichero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>
          <w:rtl w:val="0"/>
        </w:rPr>
        <w:t xml:space="preserve">Posteriormente y ya en el apartado de restricciones de seguridad (security constraints) del fichero  autorizamos el acceso del grupo a los recursos correspondientes.</w:t>
      </w:r>
    </w:p>
    <w:p w:rsidR="00000000" w:rsidDel="00000000" w:rsidP="00000000" w:rsidRDefault="00000000" w:rsidRPr="00000000" w14:paraId="0000001B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0" w:firstLine="0"/>
      <w:jc w:val="right"/>
      <w:rPr/>
    </w:pPr>
    <w:r w:rsidDel="00000000" w:rsidR="00000000" w:rsidRPr="00000000">
      <w:rPr>
        <w:rFonts w:ascii="Courier New" w:cs="Courier New" w:eastAsia="Courier New" w:hAnsi="Courier New"/>
        <w:color w:val="999999"/>
        <w:sz w:val="20"/>
        <w:szCs w:val="20"/>
        <w:rtl w:val="0"/>
      </w:rPr>
      <w:t xml:space="preserve">© Pau Micó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ind w:left="0" w:firstLine="0"/>
      <w:jc w:val="left"/>
      <w:rPr>
        <w:i w:val="1"/>
        <w:sz w:val="16"/>
        <w:szCs w:val="16"/>
      </w:rPr>
    </w:pPr>
    <w:r w:rsidDel="00000000" w:rsidR="00000000" w:rsidRPr="00000000">
      <w:rPr>
        <w:i w:val="1"/>
        <w:sz w:val="16"/>
        <w:szCs w:val="16"/>
        <w:rtl w:val="0"/>
      </w:rPr>
      <w:t xml:space="preserve">Tecnologías de los Sistemas de Información en Red</w:t>
      <w:tab/>
      <w:tab/>
      <w:tab/>
      <w:tab/>
      <w:tab/>
    </w:r>
    <w:r w:rsidDel="00000000" w:rsidR="00000000" w:rsidRPr="00000000">
      <w:rPr/>
      <w:drawing>
        <wp:inline distB="19050" distT="19050" distL="19050" distR="19050">
          <wp:extent cx="1133475" cy="514350"/>
          <wp:effectExtent b="0" l="0" r="0" t="0"/>
          <wp:docPr id="2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475" cy="514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ind w:left="-3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