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2A6B" w14:textId="5073D30B" w:rsidR="000F6B61" w:rsidRPr="000F6B61" w:rsidRDefault="000F6B61" w:rsidP="000F6B61">
      <w:pPr>
        <w:spacing w:before="100" w:beforeAutospacing="1" w:after="100" w:afterAutospacing="1" w:line="360" w:lineRule="auto"/>
        <w:jc w:val="both"/>
        <w:rPr>
          <w:rFonts w:ascii="Source Sans Pro" w:eastAsia="Times New Roman" w:hAnsi="Source Sans Pro" w:cs="Times New Roman"/>
          <w:b/>
          <w:bCs/>
          <w:color w:val="0F1114"/>
          <w:kern w:val="36"/>
          <w:lang w:eastAsia="fr-FR"/>
          <w14:ligatures w14:val="none"/>
        </w:rPr>
      </w:pPr>
      <w:r w:rsidRPr="00A0330B">
        <w:rPr>
          <w:rFonts w:ascii="Source Sans Pro" w:eastAsia="Times New Roman" w:hAnsi="Source Sans Pro" w:cs="Times New Roman"/>
          <w:b/>
          <w:bCs/>
          <w:color w:val="0F1114"/>
          <w:kern w:val="36"/>
          <w:lang w:eastAsia="fr-FR"/>
          <w14:ligatures w14:val="none"/>
        </w:rPr>
        <w:t>Modèles d'évaluation de l'adéquation, de la plausibilité et de la probabilité des performances et de l'impact des programmes de santé publique</w:t>
      </w:r>
    </w:p>
    <w:p w14:paraId="3DA587E7" w14:textId="4FD0A68C" w:rsidR="000F6B61" w:rsidRDefault="000F6B61" w:rsidP="000F6B61">
      <w:pPr>
        <w:pStyle w:val="NormalWeb"/>
        <w:jc w:val="both"/>
        <w:rPr>
          <w:color w:val="000000"/>
        </w:rPr>
      </w:pPr>
      <w:r>
        <w:rPr>
          <w:color w:val="000000"/>
        </w:rPr>
        <w:t>La question de savoir pourquoi évaluer un programme est rarement abordée dans la littérature. Le présent article soutient que la réponse à cette question est essentielle pour choisir un dispositif d’évaluation approprié. La discussion porte sur les évaluations sommatives de l’efficacité des programmes à grande échelle, en s’appuyant sur des exemples issus des domaines de la santé et de la nutrition, mais les résultats peuvent être applicables à d’autres champs disciplinaires.</w:t>
      </w:r>
    </w:p>
    <w:p w14:paraId="125B7785" w14:textId="77777777" w:rsidR="000F6B61" w:rsidRDefault="000F6B61" w:rsidP="000F6B61">
      <w:pPr>
        <w:pStyle w:val="NormalWeb"/>
        <w:jc w:val="both"/>
        <w:rPr>
          <w:color w:val="000000"/>
        </w:rPr>
      </w:pPr>
      <w:r>
        <w:rPr>
          <w:color w:val="000000"/>
        </w:rPr>
        <w:t>L’objectif principal d’une évaluation est d’influencer les décisions. Le degré de complexité et de précision requis pour une évaluation dépend de l’identité du décideur et du type de décisions qui seront prises à la suite des résultats. Les différents décideurs exigent non seulement des types d’informations différents, mais leurs attentes varient également quant au niveau d’information et de précision des résultats. Toutefois, qu’elles soient complexes ou simples, les évaluations doivent être tout aussi rigoureuses dans l’articulation entre le dispositif méthodologique et les décisions visées. En fonction des types de décisions susceptibles d’être prises, un cadre conceptuel est proposé pour déterminer des dispositifs d’évaluation appropriés. Son premier axe concerne les indicateurs d’intérêt, qu’ils se rapportent à la fourniture ou à l’utilisation des services, à la couverture ou aux mesures d’impact. Le second axe renvoie au type d’inférence à établir, qu’il s’agisse d’un jugement d’adéquation, de plausibilité ou de probabilité.</w:t>
      </w:r>
    </w:p>
    <w:p w14:paraId="5A04F18C" w14:textId="77777777" w:rsidR="000F6B61" w:rsidRDefault="000F6B61" w:rsidP="000F6B61">
      <w:pPr>
        <w:pStyle w:val="NormalWeb"/>
        <w:jc w:val="both"/>
        <w:rPr>
          <w:color w:val="000000"/>
        </w:rPr>
      </w:pPr>
      <w:r>
        <w:rPr>
          <w:color w:val="000000"/>
        </w:rPr>
        <w:t>En plus de ce cadre, d’autres facteurs influencent le choix d’un dispositif d’évaluation, notamment l’efficacité de l’intervention, le domaine de connaissance, le calendrier et les coûts. Concernant ces derniers, les décideurs doivent être informés que les coûts d’évaluation augmentent rapidement avec la complexité, de sorte qu’un compromis est souvent nécessaire. Des exemples sont présentés pour montrer comment utiliser les deux axes de classification, ainsi que ces facteurs supplémentaires, afin d’aider les décideurs et les évaluateurs à traduire le besoin d’évaluation — le « pourquoi » — en un dispositif méthodologique approprié — le « comment ».</w:t>
      </w:r>
    </w:p>
    <w:p w14:paraId="306FD00F" w14:textId="77777777" w:rsidR="000F6B61" w:rsidRDefault="000F6B61" w:rsidP="000F6B61">
      <w:pPr>
        <w:pStyle w:val="NormalWeb"/>
        <w:spacing w:line="360" w:lineRule="auto"/>
        <w:jc w:val="both"/>
        <w:rPr>
          <w:color w:val="000000"/>
        </w:rPr>
      </w:pPr>
    </w:p>
    <w:p w14:paraId="27686961" w14:textId="77777777" w:rsidR="000F6B61" w:rsidRDefault="000F6B61" w:rsidP="000F6B61">
      <w:pPr>
        <w:pStyle w:val="NormalWeb"/>
        <w:rPr>
          <w:color w:val="000000"/>
        </w:rPr>
      </w:pPr>
      <w:r>
        <w:rPr>
          <w:color w:val="000000"/>
        </w:rPr>
        <w:t>Les organismes de financement exigent de plus en plus des évaluations quantitatives de l’impact des programmes de santé publique, afin de répondre à une demande accrue de redevabilité. Le présent article porte sur les évaluations sommatives d’interventions déjà établies, plutôt que sur les évaluations formatives dont l’objectif est d’affiner la mise en œuvre des programmes. Les résultats des évaluations sommatives sont destinés à être utilisés pour prendre des décisions concernant les programmes évalués. Ce type d’utilisation « instrumentale » des résultats d’évaluation est en progression.</w:t>
      </w:r>
    </w:p>
    <w:p w14:paraId="6B9F733F" w14:textId="77777777" w:rsidR="000F6B61" w:rsidRDefault="000F6B61" w:rsidP="000F6B61">
      <w:pPr>
        <w:pStyle w:val="NormalWeb"/>
        <w:rPr>
          <w:color w:val="000000"/>
        </w:rPr>
      </w:pPr>
      <w:r>
        <w:rPr>
          <w:color w:val="000000"/>
        </w:rPr>
        <w:t>Cette situation est différente de celle observée par le passé, où les évaluations avaient un usage « instrumental » limité mais influençaient les programmes et les politiques de manière moins directe, notamment par un changement des perceptions. Cette différence dans les usages de l’évaluation est importante, car il est plus probable d’atteindre les décideurs lorsque l’utilisation est « instrumentale », étant donné que les évaluateurs peuvent déterminer quelles informations sont nécessaires à la prise de décision.</w:t>
      </w:r>
    </w:p>
    <w:p w14:paraId="798FA000" w14:textId="77777777" w:rsidR="000F6B61" w:rsidRDefault="000F6B61" w:rsidP="000F6B61">
      <w:pPr>
        <w:pStyle w:val="NormalWeb"/>
        <w:rPr>
          <w:color w:val="000000"/>
        </w:rPr>
      </w:pPr>
      <w:r>
        <w:rPr>
          <w:color w:val="000000"/>
        </w:rPr>
        <w:lastRenderedPageBreak/>
        <w:t>Il est généralement admis que d’autres facteurs pèsent autant, voire davantage, que les résultats des évaluations quantitatives dans les décisions finales concernant les programmes. Toutefois, les inférences issues des évaluations quantitatives doivent être pertinentes pour la prise de décision si ces évaluations doivent avoir une quelconque utilité. C’est pourquoi les évaluateurs expérimentés conçoivent leurs dispositifs d’évaluation de manière à répondre aux questions spécifiques qui préoccupent les décideurs. D’une importance capitale pour la conception de l’évaluation est le type d’inférence requis par les décideurs, une question qui n’a jusqu’à présent pas été abordée dans la littérature épidémiologique.</w:t>
      </w:r>
    </w:p>
    <w:p w14:paraId="15FA121E" w14:textId="77777777" w:rsidR="000F6B61" w:rsidRDefault="000F6B61" w:rsidP="000F6B61">
      <w:pPr>
        <w:pStyle w:val="NormalWeb"/>
        <w:rPr>
          <w:color w:val="000000"/>
        </w:rPr>
      </w:pPr>
      <w:r>
        <w:rPr>
          <w:color w:val="000000"/>
        </w:rPr>
        <w:t>Cet article s’appuie sur des dispositifs épidémiologiques conventionnels pour discuter ces questions, en s’inspirant de l’expérience des auteurs dans les domaines de la santé et de la nutrition dans les pays en développement. Il est particulièrement consacré à l’évaluation de l’efficacité, c’est-à-dire aux résultats à grande échelle d’interventions dont l’efficacité est déjà démontrée dans des conditions idéales et contrôlées.</w:t>
      </w:r>
    </w:p>
    <w:p w14:paraId="2A824EED" w14:textId="77777777" w:rsidR="00A35099" w:rsidRPr="00A35099" w:rsidRDefault="00A35099" w:rsidP="00A3509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A35099">
        <w:rPr>
          <w:rFonts w:ascii="Times New Roman" w:eastAsia="Times New Roman" w:hAnsi="Times New Roman" w:cs="Times New Roman"/>
          <w:b/>
          <w:bCs/>
          <w:color w:val="000000"/>
          <w:kern w:val="0"/>
          <w:sz w:val="27"/>
          <w:szCs w:val="27"/>
          <w:lang w:eastAsia="fr-FR"/>
          <w14:ligatures w14:val="none"/>
        </w:rPr>
        <w:t>Pourquoi réaliser une évaluation ?</w:t>
      </w:r>
    </w:p>
    <w:p w14:paraId="641AA074" w14:textId="77777777" w:rsidR="00A35099" w:rsidRPr="00A35099" w:rsidRDefault="00A35099" w:rsidP="00A3509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A35099">
        <w:rPr>
          <w:rFonts w:ascii="Times New Roman" w:eastAsia="Times New Roman" w:hAnsi="Times New Roman" w:cs="Times New Roman"/>
          <w:b/>
          <w:bCs/>
          <w:color w:val="000000"/>
          <w:kern w:val="0"/>
          <w:sz w:val="27"/>
          <w:szCs w:val="27"/>
          <w:lang w:eastAsia="fr-FR"/>
          <w14:ligatures w14:val="none"/>
        </w:rPr>
        <w:t>Qui sera influencé ?</w:t>
      </w:r>
    </w:p>
    <w:p w14:paraId="6C8A717B" w14:textId="77777777" w:rsidR="00A35099" w:rsidRPr="00A35099" w:rsidRDefault="00A35099" w:rsidP="00A3509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35099">
        <w:rPr>
          <w:rFonts w:ascii="Times New Roman" w:eastAsia="Times New Roman" w:hAnsi="Times New Roman" w:cs="Times New Roman"/>
          <w:color w:val="000000"/>
          <w:kern w:val="0"/>
          <w:lang w:eastAsia="fr-FR"/>
          <w14:ligatures w14:val="none"/>
        </w:rPr>
        <w:t>Il est largement reconnu que les évaluations formatives doivent être menées avec les personnes qui détiennent l’autorité nécessaire pour mettre en œuvre les changements requis. On comprend moins bien que le même type de démarche participative est essentiel dans presque toutes les évaluations sommatives, afin que les informations produites soient effectivement utilisées de manière appropriée dans la prise de décision.</w:t>
      </w:r>
    </w:p>
    <w:p w14:paraId="163078BE" w14:textId="77777777" w:rsidR="00A35099" w:rsidRPr="00A35099" w:rsidRDefault="00A35099" w:rsidP="00A3509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35099">
        <w:rPr>
          <w:rFonts w:ascii="Times New Roman" w:eastAsia="Times New Roman" w:hAnsi="Times New Roman" w:cs="Times New Roman"/>
          <w:color w:val="000000"/>
          <w:kern w:val="0"/>
          <w:lang w:eastAsia="fr-FR"/>
          <w14:ligatures w14:val="none"/>
        </w:rPr>
        <w:t>Sur la base des résultats d’une évaluation sommative, un décideur peut choisir de poursuivre, de modifier, d’étendre ou d’arrêter un projet ou une intervention. La première tâche du planificateur de l’évaluation consiste donc à définir le public cible des résultats de l’évaluation, puisque les responsabilités et l’expertise des décideurs influenceront les questions qui doivent être posées.</w:t>
      </w:r>
    </w:p>
    <w:p w14:paraId="53154CF3" w14:textId="6EA6736E" w:rsidR="00A35099" w:rsidRPr="00A35099" w:rsidRDefault="00A35099" w:rsidP="000F6B61">
      <w:pPr>
        <w:pStyle w:val="NormalWeb"/>
        <w:rPr>
          <w:color w:val="000000"/>
        </w:rPr>
      </w:pPr>
      <w:r w:rsidRPr="00A35099">
        <w:rPr>
          <w:color w:val="000000"/>
        </w:rPr>
        <w:t>Les différents décideurs ne posent pas seulement des questions spécifiques, mais exigent également des types distincts d’inférences à partir des données quantitatives. Autrement dit, la réponse à la question « pourquoi réaliser une évaluation » influencera la conception inférentielle de celle-ci. Par exemple, une agence de financement peut souhaiter documenter un impact statistiquement significatif sur la mortalité, tandis qu’un responsable de santé au niveau du district peut être intéressé par le fait de savoir si un certain niveau de couverture a été atteint et si la chaîne du froid fonctionne correctement. Cela n’implique pas qu’un type d’évaluation soit plus « scientifique » qu’un autre, car les deux peuvent et doivent être tout aussi rigoureux, au sens de fournir des informations suffisamment valides et précises pour éclairer les décisions à prendre. Le premier type d’évaluation apporte des preuves d’efficacité et est pertinent pour une décision d’extension du programme. Le second, en revanche, évalue l’adéquation globale des changements observés dans les résultats et peut étayer une décision selon laquelle aucune modification n’est nécessaire.</w:t>
      </w:r>
    </w:p>
    <w:p w14:paraId="713EEC47" w14:textId="121045BE" w:rsidR="00A35099" w:rsidRDefault="00A35099" w:rsidP="000F6B61">
      <w:pPr>
        <w:pStyle w:val="NormalWeb"/>
        <w:rPr>
          <w:color w:val="000000"/>
        </w:rPr>
      </w:pPr>
      <w:r w:rsidRPr="00A35099">
        <w:rPr>
          <w:color w:val="000000"/>
        </w:rPr>
        <w:t>Le concepteur de l’évaluation doit donc travailler avec les décideurs pour planifier une étude qui répondra à leurs exigences, c’est-à-dire qui traitera la question du « pourquoi ». Un cadre conceptuel est présenté ci-dessous pour aider à concevoir l’évaluation. Il convient de noter qu’une évaluation peut viser plus d’une catégorie de décideurs. Dans ce cas, le dispositif d’évaluation doit tenir compte de leurs besoins différenciés.</w:t>
      </w:r>
    </w:p>
    <w:p w14:paraId="5BEB5A95" w14:textId="77777777" w:rsidR="00806539" w:rsidRPr="00806539" w:rsidRDefault="00806539" w:rsidP="008065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806539">
        <w:rPr>
          <w:rFonts w:ascii="Times New Roman" w:eastAsia="Times New Roman" w:hAnsi="Times New Roman" w:cs="Times New Roman"/>
          <w:b/>
          <w:bCs/>
          <w:color w:val="000000"/>
          <w:kern w:val="0"/>
          <w:sz w:val="36"/>
          <w:szCs w:val="36"/>
          <w:lang w:eastAsia="fr-FR"/>
          <w14:ligatures w14:val="none"/>
        </w:rPr>
        <w:lastRenderedPageBreak/>
        <w:t>Premier axe : Que veut-on mesurer ?</w:t>
      </w:r>
    </w:p>
    <w:p w14:paraId="6EFEFCF6" w14:textId="77777777" w:rsidR="00806539" w:rsidRPr="00806539" w:rsidRDefault="00806539" w:rsidP="008065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06539">
        <w:rPr>
          <w:rFonts w:ascii="Times New Roman" w:eastAsia="Times New Roman" w:hAnsi="Times New Roman" w:cs="Times New Roman"/>
          <w:b/>
          <w:bCs/>
          <w:color w:val="000000"/>
          <w:kern w:val="0"/>
          <w:sz w:val="27"/>
          <w:szCs w:val="27"/>
          <w:lang w:eastAsia="fr-FR"/>
          <w14:ligatures w14:val="none"/>
        </w:rPr>
        <w:t>Indicateurs de prestation, d’utilisation, de couverture et d’impact</w:t>
      </w:r>
    </w:p>
    <w:p w14:paraId="473B6CB7"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Une manière utile d’analyser les évaluations des interventions en santé et en nutrition consiste à se demander ce qui doit être évalué. La réponse à cette question déterminera ce qui sera mesuré. On peut évaluer la prestation ou l’utilisation des services, la couverture ou l’impact.</w:t>
      </w:r>
    </w:p>
    <w:p w14:paraId="4DC6925B"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Le tableau 1 présente les résultats d’intérêt dans un ordre logique allant de la prestation à l’impact. Les services doivent d’abord être fournis de manière à être disponibles et accessibles à la population cible, et d’une qualité adéquate. Ensuite, la population doit accepter ces services et les utiliser. Troisièmement, cette utilisation se traduira par un certain niveau de couverture dans la population. La couverture est une mesure particulièrement utile, car elle représente l’interface entre la prestation de services (le processus de gestion) et la population (la réalité épidémiologique). Enfin, la couverture atteinte peut conduire à un impact sur les comportements ou la santé. Toute insuffisance importante aux premières étapes de cette chaîne entraînera des échecs dans les résultats ultérieurs.</w:t>
      </w:r>
    </w:p>
    <w:p w14:paraId="55E979C9"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Pour chaque résultat, le tableau 1 présente une question pertinente et un exemple d’indicateur utile dans l’évaluation d’un programme de lutte contre les maladies diarrhéiques chez les jeunes enfants, mettant l’accent sur la promotion de la solution de réhydratation orale (SRO). Dans les tableaux suivants, le terme « évaluation de la performance » sera utilisé pour englober les évaluations de la prestation, de l’utilisation et de la couverture, par opposition aux évaluations d’impact.</w:t>
      </w:r>
    </w:p>
    <w:p w14:paraId="743EE297" w14:textId="1CD730CE" w:rsidR="00806539" w:rsidRPr="000F57D3" w:rsidRDefault="00806539" w:rsidP="000F57D3">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 xml:space="preserve">L’évaluateur doit choisir les indicateurs sur la base de discussions avec les décideurs. La complexité des dispositifs d’évaluation et l’ampleur de la collecte de données </w:t>
      </w:r>
      <w:proofErr w:type="gramStart"/>
      <w:r w:rsidRPr="00806539">
        <w:rPr>
          <w:rFonts w:ascii="Times New Roman" w:eastAsia="Times New Roman" w:hAnsi="Times New Roman" w:cs="Times New Roman"/>
          <w:color w:val="000000"/>
          <w:kern w:val="0"/>
          <w:lang w:eastAsia="fr-FR"/>
          <w14:ligatures w14:val="none"/>
        </w:rPr>
        <w:t>dépendront</w:t>
      </w:r>
      <w:proofErr w:type="gramEnd"/>
      <w:r w:rsidRPr="00806539">
        <w:rPr>
          <w:rFonts w:ascii="Times New Roman" w:eastAsia="Times New Roman" w:hAnsi="Times New Roman" w:cs="Times New Roman"/>
          <w:color w:val="000000"/>
          <w:kern w:val="0"/>
          <w:lang w:eastAsia="fr-FR"/>
          <w14:ligatures w14:val="none"/>
        </w:rPr>
        <w:t xml:space="preserve"> également de l’utilisation prévue des résultats par les décideurs. Comme indiqué précédemment, les gestionnaires locaux peuvent avoir besoin de données sommatives sur la prestation et l’utilisation pour améliorer les services au sein d’un centre de santé ou d’un district. En revanche, les agences nationales ou internationales peuvent exiger des évaluations de la couverture ou de l’impact pour justifier de nouveaux investissements dans le programme. Le choix dépend aussi du budget que l’on est prêt à consacrer à l’évaluation. La prestation ou l’utilisation peuvent être évaluées par des visites de services ou à partir des systèmes d’information routiniers. La couverture ou l’impact, en revanche, nécessitent presque toujours une collecte de données sur le terrain, avec des implications financières importantes.</w:t>
      </w:r>
    </w:p>
    <w:p w14:paraId="2B87BA9C" w14:textId="77777777" w:rsidR="00806539" w:rsidRPr="00806539" w:rsidRDefault="00806539" w:rsidP="008065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806539">
        <w:rPr>
          <w:rFonts w:ascii="Times New Roman" w:eastAsia="Times New Roman" w:hAnsi="Times New Roman" w:cs="Times New Roman"/>
          <w:b/>
          <w:bCs/>
          <w:color w:val="000000"/>
          <w:kern w:val="0"/>
          <w:sz w:val="36"/>
          <w:szCs w:val="36"/>
          <w:lang w:eastAsia="fr-FR"/>
          <w14:ligatures w14:val="none"/>
        </w:rPr>
        <w:t>Second axe : Quel degré de certitude souhaite-t-on ?</w:t>
      </w:r>
    </w:p>
    <w:p w14:paraId="110EC0FA" w14:textId="77777777" w:rsidR="00806539" w:rsidRPr="00806539" w:rsidRDefault="00806539" w:rsidP="008065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06539">
        <w:rPr>
          <w:rFonts w:ascii="Times New Roman" w:eastAsia="Times New Roman" w:hAnsi="Times New Roman" w:cs="Times New Roman"/>
          <w:b/>
          <w:bCs/>
          <w:color w:val="000000"/>
          <w:kern w:val="0"/>
          <w:sz w:val="27"/>
          <w:szCs w:val="27"/>
          <w:lang w:eastAsia="fr-FR"/>
          <w14:ligatures w14:val="none"/>
        </w:rPr>
        <w:t>Types d’inférence : adéquation, plausibilité, probabilité</w:t>
      </w:r>
    </w:p>
    <w:p w14:paraId="75D12390" w14:textId="496CF5A6" w:rsidR="00806539" w:rsidRPr="000F57D3" w:rsidRDefault="00806539" w:rsidP="000F57D3">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Le second axe concerne le type d’inférence (adéquation, plausibilité ou probabilité), ainsi que le degré de certitude dont les décideurs ont besoin pour affirmer que les effets observés sont réellement dus au projet ou au programme. Les évaluations de performance comme d’impact peuvent inclure des analyses d’adéquation, de plausibilité ou de probabilité.</w:t>
      </w:r>
    </w:p>
    <w:p w14:paraId="734E5301" w14:textId="77777777" w:rsidR="00806539" w:rsidRPr="00806539" w:rsidRDefault="00806539" w:rsidP="008065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806539">
        <w:rPr>
          <w:rFonts w:ascii="Times New Roman" w:eastAsia="Times New Roman" w:hAnsi="Times New Roman" w:cs="Times New Roman"/>
          <w:b/>
          <w:bCs/>
          <w:color w:val="000000"/>
          <w:kern w:val="0"/>
          <w:sz w:val="36"/>
          <w:szCs w:val="36"/>
          <w:lang w:eastAsia="fr-FR"/>
          <w14:ligatures w14:val="none"/>
        </w:rPr>
        <w:lastRenderedPageBreak/>
        <w:t>Évaluation de l’adéquation : Les changements attendus se sont-ils produits ?</w:t>
      </w:r>
    </w:p>
    <w:p w14:paraId="1ED34BC5"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Les inférences relatives à l’adéquation des résultats d’un programme reposent sur la comparaison de la performance ou de l’impact du projet avec des critères d’adéquation préalablement établis. Ces critères peuvent être absolus — par exemple, la distribution de 10 millions de sachets de SRO aux enfants souffrant de diarrhée ou l’atteinte d’un taux d’utilisation de la thérapie de réhydratation orale (TRO) de 80 % — ou se référer à un changement — par exemple, une diminution de 20 % des décès dus à la diarrhée dans la zone du programme.</w:t>
      </w:r>
    </w:p>
    <w:p w14:paraId="2B0E8887"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Même en l’absence d’objectifs spécifiques, la performance ou l’impact peuvent être évalués en mesurant les tendances générales dans le temps, telles qu’une augmentation de la couverture ou une réduction de la mortalité. Les évaluations d’adéquation ne nécessitent pas de groupes témoins lorsque les résultats sont comparés à des critères prédéfinis (par exemple, un taux de 90 % d’allaitement maternel exclusif à l’âge de 4 mois). En revanche, l’évaluation de l’adéquation des changements dans le temps requiert au moins deux mesures, ce qui accroît la complexité du dispositif. Néanmoins, les évaluations d’adéquation sont généralement beaucoup moins coûteuses que les deux autres types.</w:t>
      </w:r>
    </w:p>
    <w:p w14:paraId="67987337"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Les principales caractéristiques des évaluations d’adéquation sont résumées dans le tableau 2. Les évaluations de performance d’adéquation examinent dans quelle mesure les activités du programme ont atteint les objectifs attendus. Par exemple, elles peuvent inclure l’évaluation du nombre de centres de santé ouverts, du nombre de sachets de SRO ou d’autres médicaments disponibles, du niveau de formation des agents de santé, du nombre d’enfants ayant utilisé les services ou du niveau de couverture atteint dans la population cible.</w:t>
      </w:r>
    </w:p>
    <w:p w14:paraId="5E88EC74"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L’évaluation peut être transversale, réalisée à un moment donné, pendant ou à la fin du programme. Elle peut également être longitudinale, nécessitant des données de base ou incluant des mesures répétées pour détecter des tendances.</w:t>
      </w:r>
    </w:p>
    <w:p w14:paraId="45E4186C"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Les évaluations d’impact d’adéquation examinent si les indicateurs de santé ou de comportement se sont améliorés chez les bénéficiaires du programme ou dans la population cible dans son ensemble. Là encore, l’évaluation peut être transversale ou longitudinale. Un avantage des évaluations d’adéquation est qu’elles peuvent souvent s’appuyer sur des données secondaires, ce qui réduit considérablement les coûts d’évaluation.</w:t>
      </w:r>
    </w:p>
    <w:p w14:paraId="5A89D1DB"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Les évaluations d’adéquation se limitent à décrire si les changements attendus ont eu lieu ou non. Lorsqu’on évalue la prestation ou l’utilisation des services, il est raisonnable d’attribuer un succès observé au programme évalué. Par exemple, l’amélioration des compétences de prise en charge des cas chez les agents de santé et l’augmentation de la distribution de SRO peuvent être attribuées sans risque à un programme de lutte contre les maladies diarrhéiques (CDD).</w:t>
      </w:r>
    </w:p>
    <w:p w14:paraId="7444AA9A"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 xml:space="preserve">En revanche, lorsqu’on mesure la couverture ou l’impact, il peut être difficile d’inférer que les améliorations observées sont dues au programme, puisqu’il n’existe pas de groupe témoin permettant de garantir que ces changements ne se seraient pas produits de toute façon. Les améliorations observées peuvent être dues à des influences externes telles que des tendances </w:t>
      </w:r>
      <w:r w:rsidRPr="00806539">
        <w:rPr>
          <w:rFonts w:ascii="Times New Roman" w:eastAsia="Times New Roman" w:hAnsi="Times New Roman" w:cs="Times New Roman"/>
          <w:color w:val="000000"/>
          <w:kern w:val="0"/>
          <w:lang w:eastAsia="fr-FR"/>
          <w14:ligatures w14:val="none"/>
        </w:rPr>
        <w:lastRenderedPageBreak/>
        <w:t>séculaires de la mortalité ou de la malnutrition, des améliorations socioéconomiques générales, ou la présence d’autres projets dans la même zone, etc.</w:t>
      </w:r>
    </w:p>
    <w:p w14:paraId="0951D34E"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Les évaluations d’adéquation peuvent également révéler une absence de changement des indicateurs. Dans des conditions normales, cela suggère que le programme n’a pas été efficace. Toutefois, dans des circonstances particulières — telles qu’une détérioration générale de la situation socioéconomique, une famine ou une autre situation d’urgence, ou une défaillance générale d’autres services — l’absence de changement peut indiquer que le programme a été efficace en fournissant un filet de sécurité à la population affectée. Ce scénario est approfondi dans la section consacrée à la plausibilité.</w:t>
      </w:r>
    </w:p>
    <w:p w14:paraId="23240678" w14:textId="77777777" w:rsidR="00806539" w:rsidRP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Malgré leur incapacité à établir un lien causal entre les activités du programme et les changements observés, les évaluations d’adéquation peuvent fournir toute l’assurance nécessaire que les objectifs attendus sont atteints et conduire à la poursuite du soutien au programme. Pour de nombreux décideurs, des dispositifs d’évaluation plus complexes ne seront pas nécessaires, notamment parce qu’ils exigeraient du temps, des ressources et une expertise supplémentaires. Si l’évaluation révèle que les objectifs du programme ne sont pas atteints, des évaluations complémentaires peuvent être nécessaires pour identifier les causes de l’échec et orienter les actions correctives.</w:t>
      </w:r>
    </w:p>
    <w:p w14:paraId="3818E6BC" w14:textId="77777777" w:rsidR="00806539" w:rsidRDefault="00806539"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06539">
        <w:rPr>
          <w:rFonts w:ascii="Times New Roman" w:eastAsia="Times New Roman" w:hAnsi="Times New Roman" w:cs="Times New Roman"/>
          <w:color w:val="000000"/>
          <w:kern w:val="0"/>
          <w:lang w:eastAsia="fr-FR"/>
          <w14:ligatures w14:val="none"/>
        </w:rPr>
        <w:t>Pour d’autres types de décisions, les conclusions d’adéquation doivent être combinées avec des évaluations de plausibilité ou de probabilité afin de fournir les inférences nécessaires.</w:t>
      </w:r>
    </w:p>
    <w:p w14:paraId="56CB11E2" w14:textId="77777777" w:rsidR="000F458C" w:rsidRDefault="000F458C" w:rsidP="000F458C">
      <w:pPr>
        <w:pStyle w:val="NormalWeb"/>
        <w:rPr>
          <w:color w:val="000000"/>
        </w:rPr>
      </w:pPr>
      <w:r>
        <w:rPr>
          <w:rStyle w:val="lev"/>
          <w:rFonts w:eastAsiaTheme="majorEastAsia"/>
          <w:color w:val="000000"/>
        </w:rPr>
        <w:t>Évaluation de plausibilité : le programme semblait-il avoir un effet au-delà d’autres influences externes ?</w:t>
      </w:r>
    </w:p>
    <w:p w14:paraId="4779DDE6" w14:textId="77777777" w:rsidR="000F458C" w:rsidRDefault="000F458C" w:rsidP="000F458C">
      <w:pPr>
        <w:pStyle w:val="NormalWeb"/>
        <w:rPr>
          <w:color w:val="000000"/>
        </w:rPr>
      </w:pPr>
      <w:r>
        <w:rPr>
          <w:color w:val="000000"/>
        </w:rPr>
        <w:t>Certains décideurs peuvent exiger un degré de confiance plus élevé pour s’assurer que les changements observés sont effectivement dus au programme. Les évaluations de plausibilité vont au-delà des évaluations d’adéquation en cherchant à exclure les facteurs externes — appelés ci-après « facteurs de confusion » — qui pourraient avoir causé les effets observés. Une affirmation est plausible si elle est « apparemment vraie ou raisonnable, suscitant l’adhésion, constituant une explication plausible ». Le tableau 3 résume les principaux types d’évaluations de plausibilité.</w:t>
      </w:r>
    </w:p>
    <w:p w14:paraId="29428F62" w14:textId="77777777" w:rsidR="000F458C" w:rsidRDefault="000F458C" w:rsidP="000F458C">
      <w:pPr>
        <w:pStyle w:val="NormalWeb"/>
        <w:rPr>
          <w:color w:val="000000"/>
        </w:rPr>
      </w:pPr>
      <w:r>
        <w:rPr>
          <w:color w:val="000000"/>
        </w:rPr>
        <w:t>Les évaluations de plausibilité tentent de contrôler l’influence des facteurs de confusion en choisissant des groupes témoins avant le début de l’évaluation, ou après, lors de l’analyse des données. Il existe plusieurs façons de choisir un groupe témoin, mais le choix final est souvent dicté par des critères opportunistes, c’est-à-dire en tirant le meilleur parti de la situation existante.</w:t>
      </w:r>
    </w:p>
    <w:p w14:paraId="7983595F" w14:textId="77777777" w:rsidR="000F458C" w:rsidRDefault="000F458C" w:rsidP="000F458C">
      <w:pPr>
        <w:pStyle w:val="NormalWeb"/>
        <w:rPr>
          <w:color w:val="000000"/>
        </w:rPr>
      </w:pPr>
      <w:r>
        <w:rPr>
          <w:color w:val="000000"/>
        </w:rPr>
        <w:t>Les groupes témoins peuvent inclure :</w:t>
      </w:r>
    </w:p>
    <w:p w14:paraId="3F08893F" w14:textId="77777777" w:rsidR="000F458C" w:rsidRDefault="000F458C" w:rsidP="000F458C">
      <w:pPr>
        <w:pStyle w:val="NormalWeb"/>
        <w:rPr>
          <w:color w:val="000000"/>
        </w:rPr>
      </w:pPr>
      <w:r>
        <w:rPr>
          <w:rStyle w:val="lev"/>
          <w:rFonts w:eastAsiaTheme="majorEastAsia"/>
          <w:color w:val="000000"/>
        </w:rPr>
        <w:t>(a) Groupe témoin historique :</w:t>
      </w:r>
      <w:r>
        <w:rPr>
          <w:rStyle w:val="apple-converted-space"/>
          <w:rFonts w:eastAsiaTheme="majorEastAsia"/>
          <w:color w:val="000000"/>
        </w:rPr>
        <w:t> </w:t>
      </w:r>
      <w:r>
        <w:rPr>
          <w:color w:val="000000"/>
        </w:rPr>
        <w:t>les mêmes institutions ou la même population cible. Cette approche consiste à comparer les changements avant et après le programme, tout en tentant d’exclure les facteurs externes.</w:t>
      </w:r>
    </w:p>
    <w:p w14:paraId="458619C4" w14:textId="77777777" w:rsidR="000F458C" w:rsidRDefault="000F458C" w:rsidP="000F458C">
      <w:pPr>
        <w:pStyle w:val="NormalWeb"/>
        <w:rPr>
          <w:color w:val="000000"/>
        </w:rPr>
      </w:pPr>
      <w:r>
        <w:rPr>
          <w:rStyle w:val="lev"/>
          <w:rFonts w:eastAsiaTheme="majorEastAsia"/>
          <w:color w:val="000000"/>
        </w:rPr>
        <w:t>(b) Groupe témoin interne :</w:t>
      </w:r>
      <w:r>
        <w:rPr>
          <w:rStyle w:val="apple-converted-space"/>
          <w:rFonts w:eastAsiaTheme="majorEastAsia"/>
          <w:color w:val="000000"/>
        </w:rPr>
        <w:t> </w:t>
      </w:r>
      <w:r>
        <w:rPr>
          <w:color w:val="000000"/>
        </w:rPr>
        <w:t xml:space="preserve">institutions, zones géographiques ou individus qui auraient dû recevoir l’intervention complète mais ne l’ont pas reçue, soit parce qu’ils n’ont pas pu être atteints par le programme, soit parce qu’ils ont refusé d’y participer. Souvent, la réception d’un programme varie. Les indicateurs peuvent alors être comparés entre trois groupes ou </w:t>
      </w:r>
      <w:r>
        <w:rPr>
          <w:color w:val="000000"/>
        </w:rPr>
        <w:lastRenderedPageBreak/>
        <w:t>plus de communautés ou d’individus ayant des niveaux d’exposition différents à l’intervention. Une relation dose-réponse entre l’intensité de l’intervention et la performance ou l’impact observé permet d’énoncer une conclusion de plausibilité plus solide que les résultats issus d’une comparaison entre un groupe totalement exposé et un groupe non exposé. Ces approches nécessitent des comparaisons de données transversales collectées à la fin du cycle du programme.</w:t>
      </w:r>
    </w:p>
    <w:p w14:paraId="449752EA" w14:textId="77777777" w:rsidR="000F458C" w:rsidRDefault="000F458C" w:rsidP="000F458C">
      <w:pPr>
        <w:pStyle w:val="NormalWeb"/>
        <w:rPr>
          <w:color w:val="000000"/>
        </w:rPr>
      </w:pPr>
      <w:r>
        <w:rPr>
          <w:color w:val="000000"/>
        </w:rPr>
        <w:t>Un autre type d’évaluation interne de l’impact consiste à utiliser la méthode cas-témoins pour comparer l’exposition antérieure au programme entre des individus atteints de la maladie et ceux qui ne le sont pas. Un avantage de la méthode « cas-témoins » est qu’elle peut être lancée relativement tôt après le début du programme et fournir des résultats définitifs plus rapidement.</w:t>
      </w:r>
    </w:p>
    <w:p w14:paraId="7C54A542" w14:textId="77777777" w:rsidR="000F458C" w:rsidRDefault="000F458C" w:rsidP="000F458C">
      <w:pPr>
        <w:pStyle w:val="NormalWeb"/>
        <w:rPr>
          <w:color w:val="000000"/>
        </w:rPr>
      </w:pPr>
      <w:r>
        <w:rPr>
          <w:rStyle w:val="lev"/>
          <w:rFonts w:eastAsiaTheme="majorEastAsia"/>
          <w:color w:val="000000"/>
        </w:rPr>
        <w:t>(c) Groupe témoin externe :</w:t>
      </w:r>
      <w:r>
        <w:rPr>
          <w:rStyle w:val="apple-converted-space"/>
          <w:rFonts w:eastAsiaTheme="majorEastAsia"/>
          <w:color w:val="000000"/>
        </w:rPr>
        <w:t> </w:t>
      </w:r>
      <w:r>
        <w:rPr>
          <w:color w:val="000000"/>
        </w:rPr>
        <w:t>une ou plusieurs institutions ou zones géographiques sans le programme. Dans ce cas, la comparaison peut être transversale (intervention versus témoin à la fin du cycle du programme) ou longitudinale (comparaison intervention et témoin au début et à la fin du cycle).</w:t>
      </w:r>
    </w:p>
    <w:p w14:paraId="5654D567" w14:textId="77777777" w:rsidR="000F458C" w:rsidRDefault="000F458C" w:rsidP="000F458C">
      <w:pPr>
        <w:pStyle w:val="NormalWeb"/>
        <w:rPr>
          <w:color w:val="000000"/>
        </w:rPr>
      </w:pPr>
      <w:r>
        <w:rPr>
          <w:color w:val="000000"/>
        </w:rPr>
        <w:t>L’utilisation de l’un quelconque de ces groupes témoins conduit à des conclusions beaucoup plus plausibles que l’absence de groupe témoin. La plausibilité est souvent nettement améliorée lorsqu’ils sont utilisés en combinaison. Par exemple, des interventions échelonnées commençant à des moments différents dans des zones distinctes permettent de combiner des données historiques avec des témoins externes représentés par les zones où l’intervention commencera plus tard ; celles-ci auront ensuite leurs propres témoins historiques.</w:t>
      </w:r>
    </w:p>
    <w:p w14:paraId="0F8BB700" w14:textId="77777777" w:rsidR="000F458C" w:rsidRDefault="000F458C" w:rsidP="000F458C">
      <w:pPr>
        <w:pStyle w:val="NormalWeb"/>
        <w:rPr>
          <w:color w:val="000000"/>
        </w:rPr>
      </w:pPr>
      <w:r>
        <w:rPr>
          <w:color w:val="000000"/>
        </w:rPr>
        <w:t xml:space="preserve">Les groupes d’intervention et de contrôle sont supposés similaires pour toutes les caractéristiques pertinentes, sauf l’exposition à l’intervention. </w:t>
      </w:r>
      <w:proofErr w:type="gramStart"/>
      <w:r>
        <w:rPr>
          <w:color w:val="000000"/>
        </w:rPr>
        <w:t>Cela est presque jamais</w:t>
      </w:r>
      <w:proofErr w:type="gramEnd"/>
      <w:r>
        <w:rPr>
          <w:color w:val="000000"/>
        </w:rPr>
        <w:t xml:space="preserve"> totalement vrai, car l’un des groupes de comparaison peut être influencé par un facteur de confusion qui n’affecte pas l’autre autant. Par exemple, si le programme de lutte contre les maladies diarrhéiques (CDD) est mis en œuvre dans une zone bénéficiant d’un meilleur approvisionnement en eau que la zone témoin, une différence de mortalité diarrhéique peut être due à l’amélioration de l’eau et non au programme. Traiter la confusion exige de mesurer les facteurs de confusion probables et de les prendre en compte statistiquement par appariement, standardisation, stratification ou autres formes d’analyse multivariée.</w:t>
      </w:r>
    </w:p>
    <w:p w14:paraId="7DF821A9" w14:textId="77777777" w:rsidR="000F458C" w:rsidRDefault="000F458C" w:rsidP="000F458C">
      <w:pPr>
        <w:pStyle w:val="NormalWeb"/>
        <w:rPr>
          <w:color w:val="000000"/>
        </w:rPr>
      </w:pPr>
      <w:r>
        <w:rPr>
          <w:color w:val="000000"/>
        </w:rPr>
        <w:t>Le contrôle des facteurs de confusion est particulièrement important lorsque des comparaisons internes sont effectuées. Les individus qui refusent l’intervention ou qui n’ont pas pu être atteints diffèrent souvent aussi des bénéficiaires sur plusieurs autres aspects.</w:t>
      </w:r>
    </w:p>
    <w:p w14:paraId="3330461C" w14:textId="77777777" w:rsidR="000F458C" w:rsidRDefault="000F458C" w:rsidP="000F458C">
      <w:pPr>
        <w:pStyle w:val="NormalWeb"/>
        <w:rPr>
          <w:color w:val="000000"/>
        </w:rPr>
      </w:pPr>
      <w:r>
        <w:rPr>
          <w:color w:val="000000"/>
        </w:rPr>
        <w:t xml:space="preserve">La confusion est également cruciale lors de l’utilisation de témoins historiques. Ce schéma ressemble à une évaluation d’adéquation, dans laquelle une tendance est observée sans comparaison externe. Toutefois, pour caractériser une évaluation de plausibilité, il faut aussi tenter d’exclure d’autres causes possibles des tendances observées, par exemple en évaluant si une baisse de la mortalité diarrhéique pourrait être due au développement socio-économique, à l’amélioration de l’approvisionnement en eau et de l’assainissement, à des interventions nutritionnelles ou à d’autres interventions sanitaires. Cela peut être réalisé en estimant dans quelle mesure la mortalité aurait diminué du fait des changements externes et en comparant cette estimation avec la baisse observée. Une situation particulière se présente lorsqu’aucune amélioration importante n’est observée, mais que, grâce à l’approche de simulation ci-dessus, on montre qu’une détérioration était attendue. Dans ce cas, on peut affirmer de manière </w:t>
      </w:r>
      <w:r>
        <w:rPr>
          <w:color w:val="000000"/>
        </w:rPr>
        <w:lastRenderedPageBreak/>
        <w:t>plausible que le programme a réussi à empêcher que la situation ne s’aggrave en raison de contraintes externes.</w:t>
      </w:r>
    </w:p>
    <w:p w14:paraId="5DFE616F" w14:textId="77777777" w:rsidR="000F458C" w:rsidRDefault="000F458C" w:rsidP="000F458C">
      <w:pPr>
        <w:pStyle w:val="NormalWeb"/>
        <w:rPr>
          <w:color w:val="000000"/>
        </w:rPr>
      </w:pPr>
      <w:r>
        <w:rPr>
          <w:color w:val="000000"/>
        </w:rPr>
        <w:t>À bien des égards, les évaluations de plausibilité s’apparentent à des « expériences naturelles ». L’évaluateur tire parti de l’existence opportune d’un groupe témoin pour examiner l’effet d’un programme. Comme son nom l’indique, une affirmation de plausibilité repose largement sur le jugement de valeur d’experts du domaine, y compris les décideurs et les évaluateurs.</w:t>
      </w:r>
    </w:p>
    <w:p w14:paraId="02ECC12F" w14:textId="77777777" w:rsidR="000F458C" w:rsidRDefault="000F458C" w:rsidP="000F458C">
      <w:pPr>
        <w:pStyle w:val="NormalWeb"/>
        <w:rPr>
          <w:color w:val="000000"/>
        </w:rPr>
      </w:pPr>
      <w:r>
        <w:rPr>
          <w:color w:val="000000"/>
        </w:rPr>
        <w:t>Les évaluations de plausibilité couvrent un continuum allant d’énoncés faibles à forts. À l’extrémité basse de l’échelle se trouvent les simples comparaisons avec un groupe témoin, accompagnées d’une tentative de discussion et d’exclusion des facteurs de confusion possibles. À l’extrémité haute, on peut disposer de plusieurs comparaisons et de simulations mathématiques. Pour atteindre le niveau le plus élevé de plausibilité, il faut écarter formellement toutes les autres explications probables des améliorations observées. Par exemple, la plausibilité devient plus forte si l’on montre successivement que :</w:t>
      </w:r>
      <w:r>
        <w:rPr>
          <w:color w:val="000000"/>
        </w:rPr>
        <w:br/>
        <w:t>(a) la mortalité diarrhéique a chuté rapidement dans les zones avec interventions CDD (cohérence de la tendance attendue) ;</w:t>
      </w:r>
      <w:r>
        <w:rPr>
          <w:color w:val="000000"/>
        </w:rPr>
        <w:br/>
        <w:t>(b) la diarrhée n’a pas diminué dans les zones sans interventions CDD (donc pas due à des changements généraux dans la zone) ;</w:t>
      </w:r>
      <w:r>
        <w:rPr>
          <w:color w:val="000000"/>
        </w:rPr>
        <w:br/>
        <w:t>(c) les changements d’autres déterminants connus de la mortalité ne peuvent expliquer la baisse observée (absence de confusion mesurable) ;</w:t>
      </w:r>
      <w:r>
        <w:rPr>
          <w:color w:val="000000"/>
        </w:rPr>
        <w:br/>
        <w:t>(d) il existe une association inverse entre l’intensité de l’intervention et la mortalité diarrhéique (cohérence dose-réponse) ;</w:t>
      </w:r>
      <w:r>
        <w:rPr>
          <w:color w:val="000000"/>
        </w:rPr>
        <w:br/>
        <w:t>(e) les mères connaissant la thérapie de réhydratation orale (ORT) ont eu moins de décès récents d’enfants que celles ne la connaissant pas (cohérence des variables médiatrices) ;</w:t>
      </w:r>
      <w:r>
        <w:rPr>
          <w:color w:val="000000"/>
        </w:rPr>
        <w:br/>
        <w:t>(f) la mortalité parmi les non-adhérents dans la zone du programme est similaire à celle de la zone témoin (cohérence de l’absence d’impact sans intervention) ;</w:t>
      </w:r>
      <w:r>
        <w:rPr>
          <w:color w:val="000000"/>
        </w:rPr>
        <w:br/>
        <w:t>(g) l’augmentation de la couverture ORT est compatible avec l’ampleur de la réduction de la mortalité (cohérence de la taille de l’effet sur les variables médiatrices).</w:t>
      </w:r>
    </w:p>
    <w:p w14:paraId="4FBBE417" w14:textId="77777777" w:rsidR="000F458C" w:rsidRDefault="000F458C" w:rsidP="000F458C">
      <w:pPr>
        <w:pStyle w:val="NormalWeb"/>
        <w:rPr>
          <w:color w:val="000000"/>
        </w:rPr>
      </w:pPr>
      <w:r>
        <w:rPr>
          <w:color w:val="000000"/>
        </w:rPr>
        <w:t>D’un point de vue académique, la principale limite des évaluations de plausibilité est qu’on ne peut jamais exclure complètement toutes les explications alternatives des différences observées. Cependant, au moment où le point (g) est démontré, ces alternatives deviennent si improbables qu’elles sont négligeables. En outre, d’un point de vue plus pratique et programmatique, des affirmations de plausibilité moins strictes suffisent souvent pour décider de l’avenir d’un programme, car le coût d’une erreur pour le décideur est suffisamment faible pour qu’un niveau de plausibilité plus élevé ne soit pas nécessaire.</w:t>
      </w:r>
    </w:p>
    <w:p w14:paraId="0D4911CA" w14:textId="32173B72" w:rsidR="00A50A91" w:rsidRDefault="00A50A91" w:rsidP="00A50A91">
      <w:pPr>
        <w:pStyle w:val="NormalWeb"/>
        <w:rPr>
          <w:color w:val="000000"/>
        </w:rPr>
      </w:pPr>
      <w:r>
        <w:rPr>
          <w:rStyle w:val="lev"/>
          <w:rFonts w:eastAsiaTheme="majorEastAsia"/>
          <w:color w:val="000000"/>
        </w:rPr>
        <w:t xml:space="preserve">Évaluation de probabilité : le programme a-t-il eu un effet (P </w:t>
      </w:r>
      <w:r w:rsidR="00451482">
        <w:rPr>
          <w:rStyle w:val="lev"/>
          <w:rFonts w:eastAsiaTheme="majorEastAsia"/>
          <w:color w:val="000000"/>
        </w:rPr>
        <w:t>&lt;</w:t>
      </w:r>
      <w:r>
        <w:rPr>
          <w:rStyle w:val="lev"/>
          <w:rFonts w:eastAsiaTheme="majorEastAsia"/>
          <w:color w:val="000000"/>
        </w:rPr>
        <w:t>%) ?</w:t>
      </w:r>
    </w:p>
    <w:p w14:paraId="473C3991" w14:textId="77777777" w:rsidR="00A50A91" w:rsidRDefault="00A50A91" w:rsidP="00A50A91">
      <w:pPr>
        <w:pStyle w:val="NormalWeb"/>
        <w:rPr>
          <w:color w:val="000000"/>
        </w:rPr>
      </w:pPr>
      <w:r>
        <w:rPr>
          <w:color w:val="000000"/>
        </w:rPr>
        <w:t>Les évaluations de probabilité visent à garantir qu’il n’existe qu’une faible probabilité connue que les différences entre les zones avec programme et les zones témoins soient dues à des facteurs de confusion, à des biais ou au hasard. Ces évaluations nécessitent la randomisation des activités d’intervention et de contrôle entre les groupes comparés, ce qui constitue la norme de référence (« gold standard ») de la recherche académique sur l’efficacité.</w:t>
      </w:r>
    </w:p>
    <w:p w14:paraId="6C793894" w14:textId="0863E53B" w:rsidR="00A50A91" w:rsidRDefault="00A50A91" w:rsidP="00A50A91">
      <w:pPr>
        <w:pStyle w:val="NormalWeb"/>
        <w:rPr>
          <w:color w:val="000000"/>
        </w:rPr>
      </w:pPr>
      <w:r>
        <w:rPr>
          <w:color w:val="000000"/>
        </w:rPr>
        <w:t xml:space="preserve">Bien que la randomisation ne garantisse pas l’élimination complète de toute confusion (contrairement à une croyance répandue mais erronée), elle permet d’en mesurer la probabilité, celle-ci faisant partie de l’erreur associée au niveau de signification utilisé (P </w:t>
      </w:r>
      <w:r w:rsidR="00E17C92">
        <w:rPr>
          <w:color w:val="000000"/>
        </w:rPr>
        <w:t>&lt;</w:t>
      </w:r>
      <w:r>
        <w:rPr>
          <w:color w:val="000000"/>
        </w:rPr>
        <w:t xml:space="preserve"> %), où P est choisi sur la base de considérations discutées plus loin sous « Taille de </w:t>
      </w:r>
      <w:r>
        <w:rPr>
          <w:color w:val="000000"/>
        </w:rPr>
        <w:lastRenderedPageBreak/>
        <w:t>l’échantillon ». Le facteur de confusion n’a même pas besoin d’être connu pour que cette procédure fonctionne. Ainsi, la randomisation garantit que l’énoncé statistique d’association est directement lié à l’intervention. Cela signifie que l’énoncé de probabilité statistique dans une telle évaluation se rapporte directement à la causalité de l’intervention, et non simplement au fait que les groupes comparés sont différents, comme c’est le cas pour les autres types de plans. Nous ne détaillerons pas davantage ici les évaluations de probabilité, car elles sont bien décrites dans les manuels standard, notamment en ce qui concerne la prévention des biais pouvant accompagner l’intervention et fausser l’évaluation.</w:t>
      </w:r>
    </w:p>
    <w:p w14:paraId="017C7BDB" w14:textId="77777777" w:rsidR="00A50A91" w:rsidRDefault="00A50A91" w:rsidP="00A50A91">
      <w:pPr>
        <w:pStyle w:val="NormalWeb"/>
        <w:rPr>
          <w:color w:val="000000"/>
        </w:rPr>
      </w:pPr>
      <w:r>
        <w:rPr>
          <w:color w:val="000000"/>
        </w:rPr>
        <w:t>Les principales caractéristiques des évaluations de probabilité sont présentées dans le tableau 4. Il existe plusieurs raisons pour lesquelles ces évaluations sont souvent difficiles à mettre en œuvre pour mesurer l’efficacité des programmes. Premièrement, l’évaluateur doit être impliqué très tôt dans le cycle de planification du programme afin de concevoir la randomisation. Les services, communautés ou individus éligibles doivent être répertoriés puis répartis aléatoirement entre groupes d’intervention et groupes témoins. Malheureusement, les évaluateurs sont souvent recrutés bien après la mise en œuvre du programme.</w:t>
      </w:r>
    </w:p>
    <w:p w14:paraId="1FA83E3A" w14:textId="77777777" w:rsidR="00A50A91" w:rsidRDefault="00A50A91" w:rsidP="00A50A91">
      <w:pPr>
        <w:pStyle w:val="NormalWeb"/>
        <w:rPr>
          <w:color w:val="000000"/>
        </w:rPr>
      </w:pPr>
      <w:r>
        <w:rPr>
          <w:color w:val="000000"/>
        </w:rPr>
        <w:t>Il faut également surmonter les influences politiques qui affectent le choix des lieux où déployer la nouvelle intervention. Les interventions étant généralement considérées comme souhaitables, des pressions politiques s’exercent sur les planificateurs, ce qui conduit souvent à orienter le programme vers des communautés plus influentes. Pour garantir l’allocation aléatoire, l’évaluateur doit influencer directement le processus de mise en œuvre. Des alternatives ont été proposées, notamment le</w:t>
      </w:r>
      <w:r>
        <w:rPr>
          <w:rStyle w:val="apple-converted-space"/>
          <w:rFonts w:eastAsiaTheme="majorEastAsia"/>
          <w:color w:val="000000"/>
        </w:rPr>
        <w:t> </w:t>
      </w:r>
      <w:r>
        <w:rPr>
          <w:rStyle w:val="lev"/>
          <w:rFonts w:eastAsiaTheme="majorEastAsia"/>
          <w:color w:val="000000"/>
        </w:rPr>
        <w:t xml:space="preserve">plan en escalier (« </w:t>
      </w:r>
      <w:proofErr w:type="spellStart"/>
      <w:r>
        <w:rPr>
          <w:rStyle w:val="lev"/>
          <w:rFonts w:eastAsiaTheme="majorEastAsia"/>
          <w:color w:val="000000"/>
        </w:rPr>
        <w:t>stepped</w:t>
      </w:r>
      <w:proofErr w:type="spellEnd"/>
      <w:r>
        <w:rPr>
          <w:rStyle w:val="lev"/>
          <w:rFonts w:eastAsiaTheme="majorEastAsia"/>
          <w:color w:val="000000"/>
        </w:rPr>
        <w:t xml:space="preserve"> wedge design » ou introduction expérimentale échelonnée)</w:t>
      </w:r>
      <w:r>
        <w:rPr>
          <w:color w:val="000000"/>
        </w:rPr>
        <w:t>, dans lequel l’intervention est déployée selon une séquence randomisée mais finit par être étendue à toutes les communautés ou individus éligibles. Cette extension progressive, à mesure que les ressources deviennent disponibles, est nécessaire non seulement pour des raisons politiques mais aussi éthiques. Cela signifie toutefois que les plans randomisés ne sont pas adaptés pour étudier des effets apparaissant longtemps après le début de l’intervention.</w:t>
      </w:r>
    </w:p>
    <w:p w14:paraId="1467FD5B" w14:textId="77777777" w:rsidR="00A50A91" w:rsidRDefault="00A50A91" w:rsidP="00A50A91">
      <w:pPr>
        <w:pStyle w:val="NormalWeb"/>
        <w:rPr>
          <w:color w:val="000000"/>
        </w:rPr>
      </w:pPr>
      <w:r>
        <w:rPr>
          <w:color w:val="000000"/>
        </w:rPr>
        <w:t>Les exigences strictes des essais probabilistes peuvent créer des situations artificiellement différentes de la réalité à laquelle les résultats doivent être extrapolés, autrement dit une faible validité externe. L’évaluation probabiliste peut avoir une forte validité interne en montrant que l’intervention a causé les résultats. Mais ce gain de validité interne peut devenir inutile si le manque de validité externe rend les résultats non pertinents pour les décisions à prendre.</w:t>
      </w:r>
    </w:p>
    <w:p w14:paraId="746F5992" w14:textId="77777777" w:rsidR="00A50A91" w:rsidRDefault="00A50A91" w:rsidP="00A50A91">
      <w:pPr>
        <w:pStyle w:val="NormalWeb"/>
        <w:rPr>
          <w:color w:val="000000"/>
        </w:rPr>
      </w:pPr>
      <w:r>
        <w:rPr>
          <w:color w:val="000000"/>
        </w:rPr>
        <w:t>En raison de ces facteurs et d’autres encore, l’approche probabiliste comporte de nombreuses limites pour l’évaluation de programmes à grande échelle. Si l’intervention a déjà démontré son efficacité lors d’essais sur le terrain, peu de décideurs expérimentés exigeront de mesurer l’efficacité de chaque programme au moyen d’un plan probabiliste. Cependant, certains responsables d’organismes bailleurs ou internationaux, ainsi que les évaluateurs eux-mêmes, peuvent avoir été formés à considérer les évaluations probabilistes comme la norme absolue, sans comprendre que cette approche est rarement obligatoire, ni même réalisable, pour l’évaluation courante de l’efficacité des programmes.</w:t>
      </w:r>
    </w:p>
    <w:p w14:paraId="6ECC1F80" w14:textId="77777777" w:rsidR="00A50A91" w:rsidRDefault="00A50A91" w:rsidP="00A50A91">
      <w:pPr>
        <w:pStyle w:val="NormalWeb"/>
        <w:rPr>
          <w:color w:val="000000"/>
        </w:rPr>
      </w:pPr>
      <w:r>
        <w:rPr>
          <w:color w:val="000000"/>
        </w:rPr>
        <w:t xml:space="preserve">Malgré leurs limites, il existe des situations où les évaluations probabilistes sont essentielles, comme dans les premiers essais de supplémentation en vitamine A qui ont démontré la létalité de l’avitaminose A subclinique. Ces premières études n’avaient pas de validité externe pour la mise en œuvre d’interventions de santé publique, mais elles ont été cruciales pour montrer la </w:t>
      </w:r>
      <w:r>
        <w:rPr>
          <w:color w:val="000000"/>
        </w:rPr>
        <w:lastRenderedPageBreak/>
        <w:t>nécessité d’une action de santé publique dans les populations présentant une avitaminose A subclinique.</w:t>
      </w:r>
    </w:p>
    <w:p w14:paraId="254198B1" w14:textId="77777777" w:rsidR="000F57D3" w:rsidRPr="00806539" w:rsidRDefault="000F57D3" w:rsidP="00806539">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45477A2A" w14:textId="77777777" w:rsidR="00A50A91" w:rsidRPr="00A50A91" w:rsidRDefault="00A50A91" w:rsidP="00A50A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A50A91">
        <w:rPr>
          <w:rFonts w:ascii="Times New Roman" w:eastAsia="Times New Roman" w:hAnsi="Times New Roman" w:cs="Times New Roman"/>
          <w:b/>
          <w:bCs/>
          <w:color w:val="000000"/>
          <w:kern w:val="0"/>
          <w:sz w:val="36"/>
          <w:szCs w:val="36"/>
          <w:lang w:eastAsia="fr-FR"/>
          <w14:ligatures w14:val="none"/>
        </w:rPr>
        <w:t>Combiner les objectifs d’inférence d’adéquation, de plausibilité et de probabilité</w:t>
      </w:r>
    </w:p>
    <w:p w14:paraId="62266496"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L’axe d’inférence comporte en réalité deux composantes qui varient largement ensemble. La première composante est catégorielle : les évaluations d’adéquation, de plausibilité et de probabilité exigent des plans d’étude différents et conduisent à des inférences différentes, non seulement quant aux conclusions tirées des tests statistiques, mais aussi sur le fond. L’importance de ces questions pour le choix du plan d’évaluation est rarement discutée dans la littérature épidémiologique.</w:t>
      </w:r>
    </w:p>
    <w:p w14:paraId="75EDCBB2"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Par exemple, une évaluation probabiliste peut fournir une inférence rigoureuse selon laquelle l’intervention a causé un impact, sans donner d’indication sur le caractère adéquat de cet impact. Des considérations de faisabilité indiquent que certains objectifs d’adéquation peuvent être intégrés dans les plans d’évaluations de plausibilité et de probabilité à un coût supplémentaire minime. Ainsi, toutes les évaluations devraient être conçues de manière à permettre certaines inférences d’adéquation.</w:t>
      </w:r>
    </w:p>
    <w:p w14:paraId="3EAC5982"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Logiquement, il semble n’y avoir aucun avantage à ajouter des objectifs de plausibilité à une évaluation probabiliste. Toutes deux visent à inférer que l’intervention a eu un effet : la première en cherchant à exclure d’autres explications possibles, la seconde par des tests statistiques directs. La force de l’inférence est plus grande pour les évaluations probabilistes, de sorte qu’il ne semblerait pas utile d’y ajouter des objectifs de plausibilité. Cependant, il s’avère que les décideurs ne sont pas à l’aise avec une seule source de preuve, aussi convaincante soit-elle pour les statisticiens ou les épidémiologistes. Par exemple, les essais probabilistes exemplaires sur la vitamine A n’ont pas été crus par beaucoup en raison d’un manque de cohérence (congruence).</w:t>
      </w:r>
    </w:p>
    <w:p w14:paraId="74F2B501"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Cela signifie qu’un certain niveau de plausibilité devrait être intégré aux plans probabilistes, par exemple en fournissant des données sur les variables de confusion et, plus important encore, sur les variables médiatrices. Selon l’expérience des auteurs, la plupart des décideurs sont particulièrement sensibles aux preuves de cohérence, issues à la fois de données épidémiologiques et de composantes qualitatives de l’évaluation qui doivent compléter ces données. Cette cohérence est souvent si persuasive qu’elle peut même l’emporter sur des résultats d’impact qui n’atteignent pas tout à fait la signification statistique. C’est la cohérence de multiples éléments de preuve qui finit par convaincre.</w:t>
      </w:r>
    </w:p>
    <w:p w14:paraId="1E16CCF8"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L’axe d’inférence comporte une seconde composante, étroitement liée à la première composante catégorielle. Cette composante reflète la force de l’inférence concernant la causalité de l’effet du programme. La progression va d’une description sans groupe de comparaison, à une comparaison avec des groupes témoins possiblement biaisés, puis à une comparaison avec un groupe témoin probablement non biaisé (grâce aux essais randomisés). Cette seconde composante de l’axe d’inférence, contrairement à la première, est bien décrite dans la littérature épidémiologique et n’est abordée ici que brièvement.</w:t>
      </w:r>
    </w:p>
    <w:p w14:paraId="6BC20542" w14:textId="51E4B142" w:rsidR="00A50A91" w:rsidRPr="00A50A91" w:rsidRDefault="00A50A91" w:rsidP="00A50A91">
      <w:pPr>
        <w:spacing w:after="0" w:line="240" w:lineRule="auto"/>
        <w:rPr>
          <w:rFonts w:ascii="Times New Roman" w:eastAsia="Times New Roman" w:hAnsi="Times New Roman" w:cs="Times New Roman"/>
          <w:kern w:val="0"/>
          <w:lang w:eastAsia="fr-FR"/>
          <w14:ligatures w14:val="none"/>
        </w:rPr>
      </w:pPr>
    </w:p>
    <w:p w14:paraId="0D50938A" w14:textId="77777777" w:rsidR="00A50A91" w:rsidRPr="00A50A91" w:rsidRDefault="00A50A91" w:rsidP="00A50A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A50A91">
        <w:rPr>
          <w:rFonts w:ascii="Times New Roman" w:eastAsia="Times New Roman" w:hAnsi="Times New Roman" w:cs="Times New Roman"/>
          <w:b/>
          <w:bCs/>
          <w:color w:val="000000"/>
          <w:kern w:val="0"/>
          <w:sz w:val="36"/>
          <w:szCs w:val="36"/>
          <w:lang w:eastAsia="fr-FR"/>
          <w14:ligatures w14:val="none"/>
        </w:rPr>
        <w:t>Combiner les axes des indicateurs et de l’inférence</w:t>
      </w:r>
    </w:p>
    <w:p w14:paraId="6738D173"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Chacune des quatre composantes de l’axe des indicateurs (prestation, utilisation, couverture, impact) peut être évaluée selon les trois types d’inférence (adéquation, plausibilité, probabilité). Un exemple est présenté dans le tableau 5.</w:t>
      </w:r>
    </w:p>
    <w:p w14:paraId="09C80B16" w14:textId="66AB3A33" w:rsidR="00A50A91" w:rsidRPr="00A50A91" w:rsidRDefault="00A50A91" w:rsidP="00A50A91">
      <w:pPr>
        <w:spacing w:after="0" w:line="240" w:lineRule="auto"/>
        <w:rPr>
          <w:rFonts w:ascii="Times New Roman" w:eastAsia="Times New Roman" w:hAnsi="Times New Roman" w:cs="Times New Roman"/>
          <w:kern w:val="0"/>
          <w:lang w:eastAsia="fr-FR"/>
          <w14:ligatures w14:val="none"/>
        </w:rPr>
      </w:pPr>
    </w:p>
    <w:p w14:paraId="5A5E0A75" w14:textId="77777777" w:rsidR="00A50A91" w:rsidRPr="00A50A91" w:rsidRDefault="00A50A91" w:rsidP="00A50A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A50A91">
        <w:rPr>
          <w:rFonts w:ascii="Times New Roman" w:eastAsia="Times New Roman" w:hAnsi="Times New Roman" w:cs="Times New Roman"/>
          <w:b/>
          <w:bCs/>
          <w:color w:val="000000"/>
          <w:kern w:val="0"/>
          <w:sz w:val="36"/>
          <w:szCs w:val="36"/>
          <w:lang w:eastAsia="fr-FR"/>
          <w14:ligatures w14:val="none"/>
        </w:rPr>
        <w:t>Autres facteurs influençant le choix du plan d’évaluation</w:t>
      </w:r>
    </w:p>
    <w:p w14:paraId="64C3FE92"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Outre les indicateurs que les décideurs souhaitent mesurer et le degré de certitude recherché, d’autres facteurs peuvent influencer le choix du type d’évaluation approprié. Parmi ceux-ci figurent l’efficacité à grande échelle de l’intervention, le domaine de connaissance concerné et le moment de l’évaluation.</w:t>
      </w:r>
    </w:p>
    <w:p w14:paraId="4E0A1F99" w14:textId="77777777" w:rsidR="00A50A91" w:rsidRPr="00A50A91" w:rsidRDefault="00A50A91" w:rsidP="00A50A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A50A91">
        <w:rPr>
          <w:rFonts w:ascii="Times New Roman" w:eastAsia="Times New Roman" w:hAnsi="Times New Roman" w:cs="Times New Roman"/>
          <w:b/>
          <w:bCs/>
          <w:color w:val="000000"/>
          <w:kern w:val="0"/>
          <w:sz w:val="27"/>
          <w:szCs w:val="27"/>
          <w:lang w:eastAsia="fr-FR"/>
          <w14:ligatures w14:val="none"/>
        </w:rPr>
        <w:t>Efficacité</w:t>
      </w:r>
    </w:p>
    <w:p w14:paraId="756B1462"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Dans un monde idéal, les interventions ne seraient appliquées à grande échelle qu’après que leur efficacité clinique et de santé publique a été démontrée. Cependant, cette efficacité n’est souvent pas établie avant le lancement d’interventions pratiques de santé publique. L’efficacité connue d’une intervention est donc un facteur important dans le choix du plan d’évaluation.</w:t>
      </w:r>
    </w:p>
    <w:p w14:paraId="27F9F1B5"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Prenons deux exemples du point de vue d’organismes internationaux ou bailleurs. Premièrement, l’efficacité de la vaccination contre la rougeole est bien établie. Si des évaluations d’adéquation montrent que la chaîne du froid fonctionne et que la couverture est élevée, il est peu nécessaire d’évaluer l’impact du programme de vaccination sur les taux de maladie, voire sur l’immunité.</w:t>
      </w:r>
    </w:p>
    <w:p w14:paraId="3ABA7B34"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La situation est différente pour l’utilisation d’aliments végétariens afin d’améliorer l’apport en vitamine A. Leur efficacité n’est pas encore établie. Montrer une augmentation de la consommation est insuffisant pour convaincre les bailleurs de l’utilité de cette approche sans mesures du statut en vitamine A et au moins un plan solide de plausibilité. En réalité, c’est un cas où davantage de plans probabilistes seront probablement nécessaires pour convaincre les décideurs de mettre en œuvre ces interventions.</w:t>
      </w:r>
    </w:p>
    <w:p w14:paraId="1F155A8D" w14:textId="6265639C" w:rsidR="00A50A91" w:rsidRPr="00A50A91" w:rsidRDefault="00A50A91" w:rsidP="00A50A91">
      <w:pPr>
        <w:spacing w:after="0" w:line="240" w:lineRule="auto"/>
        <w:rPr>
          <w:rFonts w:ascii="Times New Roman" w:eastAsia="Times New Roman" w:hAnsi="Times New Roman" w:cs="Times New Roman"/>
          <w:kern w:val="0"/>
          <w:lang w:eastAsia="fr-FR"/>
          <w14:ligatures w14:val="none"/>
        </w:rPr>
      </w:pPr>
    </w:p>
    <w:p w14:paraId="113F92D7" w14:textId="77777777" w:rsidR="00A50A91" w:rsidRPr="00A50A91" w:rsidRDefault="00A50A91" w:rsidP="00A50A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A50A91">
        <w:rPr>
          <w:rFonts w:ascii="Times New Roman" w:eastAsia="Times New Roman" w:hAnsi="Times New Roman" w:cs="Times New Roman"/>
          <w:b/>
          <w:bCs/>
          <w:color w:val="000000"/>
          <w:kern w:val="0"/>
          <w:sz w:val="27"/>
          <w:szCs w:val="27"/>
          <w:lang w:eastAsia="fr-FR"/>
          <w14:ligatures w14:val="none"/>
        </w:rPr>
        <w:t>Secteur du programme</w:t>
      </w:r>
    </w:p>
    <w:p w14:paraId="4EF0FDBF"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Le domaine de l’intervention est un autre facteur important. Cet article se concentre sur les programmes de santé et de nutrition, mais l’approche peut être adaptée à d’autres secteurs. En règle générale, des évaluations plus strictes semblent être exigées dans le domaine de la santé. Par exemple, les évaluations d’impact sanitaire exigent souvent la démonstration d’une réduction de la mortalité, ce qui ne se produit que si plusieurs changements intermédiaires se réalisent avec succès.</w:t>
      </w:r>
    </w:p>
    <w:p w14:paraId="0E4378B5"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lastRenderedPageBreak/>
        <w:t>Dans d’autres domaines, un décideur peut se satisfaire d’une amélioration des performances à un test (éducation), d’un rendement agricole accru (agriculture) ou d’une consommation d’eau plus élevée (eau/assainissement). De plus, dans la plupart des autres secteurs, l’effet est mesuré uniquement chez les bénéficiaires du programme, tandis qu’en santé et nutrition, des critères plus stricts exigent souvent de mesurer la couverture ou l’impact sur toute la population cible.</w:t>
      </w:r>
    </w:p>
    <w:p w14:paraId="4D7A75F2"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Outre les différences dans les résultats mesurés, les différents secteurs exigent des degrés très variables de certitude avant de déclarer une intervention efficace. Certaines décisions de politique publique reposent entièrement sur des énoncés de plausibilité, notamment en économie. Même au sein du secteur de la santé, il existe des différences marquées : les interventions nutritionnelles semblent souvent soumises à des exigences plus élevées que d’autres interventions sanitaires.</w:t>
      </w:r>
    </w:p>
    <w:p w14:paraId="6E0B959C"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Cette variabilité des standards de certitude exigés par les décideurs constitue un obstacle majeur à une politique publique rationnelle. Il est donc important de préciser les niveaux de certitude atteignables selon que l’on utilise un plan d’adéquation, de plausibilité ou de probabilité. Les comparaisons d’impact attendu entre interventions concurrentes dans différents secteurs doivent tenir compte de ces différences de certitude.</w:t>
      </w:r>
    </w:p>
    <w:p w14:paraId="4D777390" w14:textId="13ACAC94" w:rsidR="00A50A91" w:rsidRPr="00A50A91" w:rsidRDefault="00A50A91" w:rsidP="00A50A91">
      <w:pPr>
        <w:spacing w:after="0" w:line="240" w:lineRule="auto"/>
        <w:rPr>
          <w:rFonts w:ascii="Times New Roman" w:eastAsia="Times New Roman" w:hAnsi="Times New Roman" w:cs="Times New Roman"/>
          <w:kern w:val="0"/>
          <w:lang w:eastAsia="fr-FR"/>
          <w14:ligatures w14:val="none"/>
        </w:rPr>
      </w:pPr>
    </w:p>
    <w:p w14:paraId="7A9938BF" w14:textId="77777777" w:rsidR="00A50A91" w:rsidRPr="00A50A91" w:rsidRDefault="00A50A91" w:rsidP="00A50A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A50A91">
        <w:rPr>
          <w:rFonts w:ascii="Times New Roman" w:eastAsia="Times New Roman" w:hAnsi="Times New Roman" w:cs="Times New Roman"/>
          <w:b/>
          <w:bCs/>
          <w:color w:val="000000"/>
          <w:kern w:val="0"/>
          <w:sz w:val="27"/>
          <w:szCs w:val="27"/>
          <w:lang w:eastAsia="fr-FR"/>
          <w14:ligatures w14:val="none"/>
        </w:rPr>
        <w:t>Moment et opportunité de l’évaluation</w:t>
      </w:r>
    </w:p>
    <w:p w14:paraId="6322E4A1"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Le moment où l’évaluation est planifiée est fondamental. Les évaluations probabilistes nécessitent la présence de l’évaluateur avant le début du programme afin de pouvoir répartir aléatoirement les communautés ou individus. Toutes les méthodes longitudinales, y compris celles avec groupe témoin, nécessitent aussi des données de base recueillies avant le programme ou des données secondaires fiables pour la période antérieure.</w:t>
      </w:r>
    </w:p>
    <w:p w14:paraId="4CA9EE3F"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En général, les évaluations de prestation et d’utilisation peuvent être réalisées plus tôt et plus fréquemment, car elles aident les décideurs locaux à améliorer rapidement les interventions. En revanche, les évaluations de couverture et surtout d’impact sont souvent menées plus tard dans le cycle du programme et généralement une seule fois. En règle générale, il faut au moins 3 à 5 ans pour qu’une intervention montre un impact. Plusieurs années ou décennies peuvent être nécessaires pour observer un impact sur des maladies à longue période d’incubation, comme le sida, les maladies chroniques ou les effets générationnels d’une amélioration nutritionnelle.</w:t>
      </w:r>
    </w:p>
    <w:p w14:paraId="2E25C719"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De manière générale, les évaluations devraient être planifiées lors de la conception du programme, même si la collecte des données n’est prévue que plus tard. Les évaluations d’adéquation et de plausibilité peuvent être instaurées après le lancement du programme. Toutefois, les évaluations d’adéquation sont plus pertinentes lorsqu’il existe des objectifs clairs et réalisables définis à l’avance, et les évaluations de plausibilité nécessitent souvent des données de référence antérieures au programme.</w:t>
      </w:r>
    </w:p>
    <w:p w14:paraId="7A53C63F"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 xml:space="preserve">L’évaluation doit fournir les réponses aux décideurs à temps pour qu’ils puissent en tenir compte dans leurs décisions. Une information parfaite issue d’une évaluation idéale est inutile si elle arrive après la prise de décision, situation malheureusement fréquente. Les évaluateurs doivent donc déterminer non seulement quelles décisions seront prises, mais aussi quand elles </w:t>
      </w:r>
      <w:r w:rsidRPr="00A50A91">
        <w:rPr>
          <w:rFonts w:ascii="Times New Roman" w:eastAsia="Times New Roman" w:hAnsi="Times New Roman" w:cs="Times New Roman"/>
          <w:color w:val="000000"/>
          <w:kern w:val="0"/>
          <w:lang w:eastAsia="fr-FR"/>
          <w14:ligatures w14:val="none"/>
        </w:rPr>
        <w:lastRenderedPageBreak/>
        <w:t>le seront. Le plan et la conduite de l’évaluation doivent être organisés pour respecter ces échéances, et la rapidité (</w:t>
      </w:r>
      <w:proofErr w:type="spellStart"/>
      <w:r w:rsidRPr="00A50A91">
        <w:rPr>
          <w:rFonts w:ascii="Times New Roman" w:eastAsia="Times New Roman" w:hAnsi="Times New Roman" w:cs="Times New Roman"/>
          <w:color w:val="000000"/>
          <w:kern w:val="0"/>
          <w:lang w:eastAsia="fr-FR"/>
          <w14:ligatures w14:val="none"/>
        </w:rPr>
        <w:t>timeliness</w:t>
      </w:r>
      <w:proofErr w:type="spellEnd"/>
      <w:r w:rsidRPr="00A50A91">
        <w:rPr>
          <w:rFonts w:ascii="Times New Roman" w:eastAsia="Times New Roman" w:hAnsi="Times New Roman" w:cs="Times New Roman"/>
          <w:color w:val="000000"/>
          <w:kern w:val="0"/>
          <w:lang w:eastAsia="fr-FR"/>
          <w14:ligatures w14:val="none"/>
        </w:rPr>
        <w:t>) doit faire partie des objectifs de tout plan d’évaluation.</w:t>
      </w:r>
    </w:p>
    <w:p w14:paraId="7AE9599E" w14:textId="248F7A01" w:rsidR="00A50A91" w:rsidRPr="00A50A91" w:rsidRDefault="00A50A91" w:rsidP="00A50A91">
      <w:pPr>
        <w:spacing w:after="0" w:line="240" w:lineRule="auto"/>
        <w:rPr>
          <w:rFonts w:ascii="Times New Roman" w:eastAsia="Times New Roman" w:hAnsi="Times New Roman" w:cs="Times New Roman"/>
          <w:kern w:val="0"/>
          <w:lang w:eastAsia="fr-FR"/>
          <w14:ligatures w14:val="none"/>
        </w:rPr>
      </w:pPr>
    </w:p>
    <w:p w14:paraId="651FF077" w14:textId="77777777" w:rsidR="00A50A91" w:rsidRPr="00A50A91" w:rsidRDefault="00A50A91" w:rsidP="00A50A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A50A91">
        <w:rPr>
          <w:rFonts w:ascii="Times New Roman" w:eastAsia="Times New Roman" w:hAnsi="Times New Roman" w:cs="Times New Roman"/>
          <w:b/>
          <w:bCs/>
          <w:color w:val="000000"/>
          <w:kern w:val="0"/>
          <w:sz w:val="27"/>
          <w:szCs w:val="27"/>
          <w:lang w:eastAsia="fr-FR"/>
          <w14:ligatures w14:val="none"/>
        </w:rPr>
        <w:t>Taille de l’échantillon</w:t>
      </w:r>
    </w:p>
    <w:p w14:paraId="1558FEFE"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Le nombre de personnes échantillonnées et les distances entre elles déterminent largement les coûts de l’évaluation. Le nombre de zones et de personnes à échantillonner est déterminé par des calculs fondés sur la tolérance des décideurs au risque d’erreur.</w:t>
      </w:r>
    </w:p>
    <w:p w14:paraId="123B101F"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Dans la recherche scientifique, la pratique courante est d’accepter comme vrai qu’un traitement a un effet 5 % du temps alors qu’il n’en a pas réellement (erreur alpha de 5 %, niveau de signification). Ce chiffre est presque sacré dans le milieu académique. De même, on accepte généralement de conclure à l’absence d’effet 20 % du temps alors qu’un effet existe réellement (erreur bêta de 20 %, soit une puissance de 80 %). Plus les niveaux d’erreurs alpha et bêta sont faibles, plus la taille d’échantillon nécessaire est grande.</w:t>
      </w:r>
    </w:p>
    <w:p w14:paraId="7EE6316D"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Ainsi, les scientifiques acceptent de ne pas détecter un effet bénéfique quatre fois plus souvent que de se tromper en affirmant un effet inexistant. De nombreux praticiens de santé publique seraient très insatisfaits d’un tel compromis et choisiraient souvent l’inverse. En tout cas, la limite « sacrée » de 5 % doit être remise en question avant d’être adoptée automatiquement. Par exemple, accepter 20 % pour alpha et bêta réduirait la taille d’échantillon de 35 à 40 %, ce qui peut être acceptable dans certaines évaluations de programme. Fixer explicitement des niveaux d’erreur adaptés au décideur est en réalité plus scientifique que d’adopter aveuglément les conventions. On peut donc tolérer des erreurs plus élevées dans l’évaluation de programmes que dans les essais d’efficacité scientifique.</w:t>
      </w:r>
    </w:p>
    <w:p w14:paraId="60031D54" w14:textId="02ABFA56" w:rsidR="00A50A91" w:rsidRPr="00A50A91" w:rsidRDefault="00A50A91" w:rsidP="00A50A91">
      <w:pPr>
        <w:spacing w:after="0" w:line="240" w:lineRule="auto"/>
        <w:rPr>
          <w:rFonts w:ascii="Times New Roman" w:eastAsia="Times New Roman" w:hAnsi="Times New Roman" w:cs="Times New Roman"/>
          <w:kern w:val="0"/>
          <w:lang w:eastAsia="fr-FR"/>
          <w14:ligatures w14:val="none"/>
        </w:rPr>
      </w:pPr>
    </w:p>
    <w:p w14:paraId="72890D95" w14:textId="77777777" w:rsidR="00A50A91" w:rsidRPr="00A50A91" w:rsidRDefault="00A50A91" w:rsidP="00A50A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A50A91">
        <w:rPr>
          <w:rFonts w:ascii="Times New Roman" w:eastAsia="Times New Roman" w:hAnsi="Times New Roman" w:cs="Times New Roman"/>
          <w:b/>
          <w:bCs/>
          <w:color w:val="000000"/>
          <w:kern w:val="0"/>
          <w:sz w:val="27"/>
          <w:szCs w:val="27"/>
          <w:lang w:eastAsia="fr-FR"/>
          <w14:ligatures w14:val="none"/>
        </w:rPr>
        <w:t>Coûts</w:t>
      </w:r>
    </w:p>
    <w:p w14:paraId="0EDB06D1"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Les coûts sont souvent le principal facteur influençant le choix du plan d’évaluation. Les décideurs y sont particulièrement sensibles, car ils doivent souvent financer l’évaluation sur le budget global du programme.</w:t>
      </w:r>
    </w:p>
    <w:p w14:paraId="03A132CE"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Sans entrer dans le détail, les évaluateurs devraient discuter avec les décideurs des implications budgétaires de différents plans, notamment :</w:t>
      </w:r>
    </w:p>
    <w:p w14:paraId="5A26C920" w14:textId="77777777" w:rsidR="00A50A91" w:rsidRPr="00A50A91" w:rsidRDefault="00A50A91" w:rsidP="00A50A9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une évaluation sommative complète est-elle nécessaire ?</w:t>
      </w:r>
    </w:p>
    <w:p w14:paraId="1CFEA49F" w14:textId="77777777" w:rsidR="00A50A91" w:rsidRPr="00A50A91" w:rsidRDefault="00A50A91" w:rsidP="00A50A9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faut-il collecter de nouvelles données ? à quel niveau ?</w:t>
      </w:r>
    </w:p>
    <w:p w14:paraId="6FFE32FD" w14:textId="77777777" w:rsidR="00A50A91" w:rsidRPr="00A50A91" w:rsidRDefault="00A50A91" w:rsidP="00A50A9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le plan inclut-il une comparaison intervention–témoin ou avant–après ?</w:t>
      </w:r>
    </w:p>
    <w:p w14:paraId="05F6FBD7" w14:textId="77777777" w:rsidR="00A50A91" w:rsidRPr="00A50A91" w:rsidRDefault="00A50A91" w:rsidP="00A50A9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l’événement mesuré est-il rare et la différence à détecter faible ?</w:t>
      </w:r>
    </w:p>
    <w:p w14:paraId="6F28182E" w14:textId="77777777" w:rsidR="00A50A91" w:rsidRPr="00A50A91" w:rsidRDefault="00A50A91" w:rsidP="00A50A9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quelle sera la complexité de l’analyse des données ?</w:t>
      </w:r>
    </w:p>
    <w:p w14:paraId="70349BF0" w14:textId="273DA33C" w:rsidR="00A50A91" w:rsidRPr="00A50A91" w:rsidRDefault="00A50A91" w:rsidP="00A50A91">
      <w:pPr>
        <w:spacing w:after="0" w:line="240" w:lineRule="auto"/>
        <w:rPr>
          <w:rFonts w:ascii="Times New Roman" w:eastAsia="Times New Roman" w:hAnsi="Times New Roman" w:cs="Times New Roman"/>
          <w:kern w:val="0"/>
          <w:lang w:eastAsia="fr-FR"/>
          <w14:ligatures w14:val="none"/>
        </w:rPr>
      </w:pPr>
    </w:p>
    <w:p w14:paraId="2D4F305D" w14:textId="77777777" w:rsidR="00A50A91" w:rsidRPr="00A50A91" w:rsidRDefault="00A50A91" w:rsidP="00A50A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A50A91">
        <w:rPr>
          <w:rFonts w:ascii="Times New Roman" w:eastAsia="Times New Roman" w:hAnsi="Times New Roman" w:cs="Times New Roman"/>
          <w:b/>
          <w:bCs/>
          <w:color w:val="000000"/>
          <w:kern w:val="0"/>
          <w:sz w:val="36"/>
          <w:szCs w:val="36"/>
          <w:lang w:eastAsia="fr-FR"/>
          <w14:ligatures w14:val="none"/>
        </w:rPr>
        <w:t>Choisir le plan d’évaluation</w:t>
      </w:r>
    </w:p>
    <w:p w14:paraId="51FF2219"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lastRenderedPageBreak/>
        <w:t>Cette section explique comment combiner les plans d’évaluation et résume les points principaux. Les axes de classification présentés doivent servir à discuter avec les décideurs des plans appropriés pour chaque programme.</w:t>
      </w:r>
    </w:p>
    <w:p w14:paraId="43CBE968"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Les évaluations complexes (par exemple probabilistes ou d’impact) ne devraient pas être réalisées avant d’avoir vérifié, grâce à des évaluations moins coûteuses, que le processus évolue dans la direction attendue. Une séquence heuristique d’évaluations de complexité croissante peut être envisagée, basée sur les résultats des évaluations plus simples et tenant compte des préoccupations des décideurs locaux, régionaux et nationaux.</w:t>
      </w:r>
    </w:p>
    <w:p w14:paraId="00C609D6"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On commencerait par vérifier que la solution de réhydratation orale (ORS) est disponible dans les centres de santé, puis que la population utilise ce service. La troisième étape consisterait en une enquête auprès des ménages pour vérifier si l’objectif de couverture ORT est atteint. Jusqu’ici, toutes les évaluations relèvent de l’adéquation. Ensuite, le décideur peut soit montrer que la couverture est plus élevée dans les zones d’intervention que dans les zones témoins (énoncé de plausibilité), soit tenter de montrer une réduction de la mortalité diarrhéique par rapport à la période antérieure (énoncé d’adéquation). Cette séquence logique aide à déterminer l’ordre réel des évaluations, qui dépend aussi du financement et des contraintes administratives et politiques.</w:t>
      </w:r>
    </w:p>
    <w:p w14:paraId="4873FC0E" w14:textId="75BE5211" w:rsidR="00A50A91" w:rsidRPr="00A50A91" w:rsidRDefault="00A50A91" w:rsidP="00A50A91">
      <w:pPr>
        <w:spacing w:after="0" w:line="240" w:lineRule="auto"/>
        <w:rPr>
          <w:rFonts w:ascii="Times New Roman" w:eastAsia="Times New Roman" w:hAnsi="Times New Roman" w:cs="Times New Roman"/>
          <w:kern w:val="0"/>
          <w:lang w:eastAsia="fr-FR"/>
          <w14:ligatures w14:val="none"/>
        </w:rPr>
      </w:pPr>
    </w:p>
    <w:p w14:paraId="24999076" w14:textId="77777777" w:rsidR="00A50A91" w:rsidRPr="00A50A91" w:rsidRDefault="00A50A91" w:rsidP="00A50A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A50A91">
        <w:rPr>
          <w:rFonts w:ascii="Times New Roman" w:eastAsia="Times New Roman" w:hAnsi="Times New Roman" w:cs="Times New Roman"/>
          <w:b/>
          <w:bCs/>
          <w:color w:val="000000"/>
          <w:kern w:val="0"/>
          <w:sz w:val="36"/>
          <w:szCs w:val="36"/>
          <w:lang w:eastAsia="fr-FR"/>
          <w14:ligatures w14:val="none"/>
        </w:rPr>
        <w:t>Conclusion</w:t>
      </w:r>
    </w:p>
    <w:p w14:paraId="3247C8F9"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Cet article vise à promouvoir un cadre logique permettant d’évaluer les programmes de santé et de nutrition et de les comparer à d’autres interventions publiques. Le principe fondamental est que l’objectif d’une évaluation est d’influencer les décideurs. Le niveau de complexité et de précision requis dépend de l’identité du décideur et des décisions qui seront prises sur la base des résultats.</w:t>
      </w:r>
    </w:p>
    <w:p w14:paraId="06F5C497" w14:textId="77777777" w:rsidR="00A50A91" w:rsidRP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Les évaluations simples comme complexes doivent être également rigoureuses, qu’elles mesurent l’adéquation des effets d’une intervention ou évaluent la plausibilité ou la probabilité que l’intervention ait causé ces effets.</w:t>
      </w:r>
    </w:p>
    <w:p w14:paraId="1D8376F3" w14:textId="77777777" w:rsidR="00A50A91" w:rsidRDefault="00A50A9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A91">
        <w:rPr>
          <w:rFonts w:ascii="Times New Roman" w:eastAsia="Times New Roman" w:hAnsi="Times New Roman" w:cs="Times New Roman"/>
          <w:color w:val="000000"/>
          <w:kern w:val="0"/>
          <w:lang w:eastAsia="fr-FR"/>
          <w14:ligatures w14:val="none"/>
        </w:rPr>
        <w:t>Outre ce cadre, d’autres facteurs influencent le choix du plan : l’efficacité de l’intervention, le domaine, le calendrier et les coûts. Concernant ces derniers, les décideurs doivent savoir que les coûts augmentent rapidement avec la complexité, si bien qu’un compromis est souvent nécessaire.</w:t>
      </w:r>
    </w:p>
    <w:p w14:paraId="5A2946AC" w14:textId="77777777" w:rsidR="00B36648" w:rsidRDefault="00B36648"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34AECD05" w14:textId="77777777" w:rsidR="00B36648" w:rsidRDefault="00B36648"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4E22EE35" w14:textId="77777777" w:rsidR="00B36648" w:rsidRDefault="00B36648"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3DB1FE14" w14:textId="77777777" w:rsidR="00B36648" w:rsidRDefault="00B36648"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26C4CFAC" w14:textId="77777777" w:rsidR="00B36648" w:rsidRDefault="00B36648"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5F7AD940" w14:textId="77777777" w:rsidR="00F91BC1" w:rsidRDefault="00F91BC1"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sectPr w:rsidR="00F91BC1">
          <w:pgSz w:w="11906" w:h="16838"/>
          <w:pgMar w:top="1417" w:right="1417" w:bottom="1417" w:left="1417" w:header="708" w:footer="708" w:gutter="0"/>
          <w:cols w:space="708"/>
          <w:docGrid w:linePitch="360"/>
        </w:sectPr>
      </w:pPr>
    </w:p>
    <w:p w14:paraId="5C9DA97C" w14:textId="77777777" w:rsidR="00B36648" w:rsidRPr="00A50A91" w:rsidRDefault="00B36648" w:rsidP="00A50A9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435AB942" w14:textId="767C7BB3" w:rsidR="000F6B61" w:rsidRDefault="00B36648" w:rsidP="000F6B61">
      <w:pPr>
        <w:pStyle w:val="NormalWeb"/>
        <w:spacing w:line="360" w:lineRule="auto"/>
        <w:jc w:val="both"/>
        <w:rPr>
          <w:color w:val="000000"/>
        </w:rPr>
      </w:pPr>
      <w:r>
        <w:rPr>
          <w:color w:val="000000"/>
        </w:rPr>
        <w:t>Tableau 1 :</w:t>
      </w:r>
    </w:p>
    <w:tbl>
      <w:tblPr>
        <w:tblW w:w="16158" w:type="dxa"/>
        <w:tblInd w:w="-1080" w:type="dxa"/>
        <w:tblCellMar>
          <w:left w:w="70" w:type="dxa"/>
          <w:right w:w="70" w:type="dxa"/>
        </w:tblCellMar>
        <w:tblLook w:val="04A0" w:firstRow="1" w:lastRow="0" w:firstColumn="1" w:lastColumn="0" w:noHBand="0" w:noVBand="1"/>
      </w:tblPr>
      <w:tblGrid>
        <w:gridCol w:w="2096"/>
        <w:gridCol w:w="5153"/>
        <w:gridCol w:w="8909"/>
      </w:tblGrid>
      <w:tr w:rsidR="00B36648" w:rsidRPr="00B36648" w14:paraId="0CE6E4D9" w14:textId="77777777" w:rsidTr="00F91BC1">
        <w:trPr>
          <w:trHeight w:val="357"/>
        </w:trPr>
        <w:tc>
          <w:tcPr>
            <w:tcW w:w="2096" w:type="dxa"/>
            <w:tcBorders>
              <w:top w:val="single" w:sz="4" w:space="0" w:color="auto"/>
              <w:left w:val="single" w:sz="4" w:space="0" w:color="auto"/>
              <w:bottom w:val="single" w:sz="4" w:space="0" w:color="auto"/>
              <w:right w:val="single" w:sz="4" w:space="0" w:color="auto"/>
            </w:tcBorders>
            <w:noWrap/>
            <w:vAlign w:val="bottom"/>
            <w:hideMark/>
          </w:tcPr>
          <w:p w14:paraId="7FD131E1" w14:textId="77777777" w:rsidR="00B36648" w:rsidRPr="00B36648" w:rsidRDefault="00B36648" w:rsidP="00B36648">
            <w:pPr>
              <w:spacing w:after="0" w:line="240" w:lineRule="auto"/>
              <w:rPr>
                <w:rFonts w:ascii="Aptos Narrow" w:eastAsia="Times New Roman" w:hAnsi="Aptos Narrow" w:cs="Times New Roman"/>
                <w:b/>
                <w:bCs/>
                <w:color w:val="000000"/>
                <w:kern w:val="0"/>
                <w:lang w:eastAsia="fr-FR"/>
                <w14:ligatures w14:val="none"/>
              </w:rPr>
            </w:pPr>
            <w:r w:rsidRPr="00B36648">
              <w:rPr>
                <w:rFonts w:ascii="Aptos Narrow" w:eastAsia="Times New Roman" w:hAnsi="Aptos Narrow" w:cs="Times New Roman"/>
                <w:b/>
                <w:bCs/>
                <w:color w:val="000000"/>
                <w:kern w:val="0"/>
                <w:lang w:eastAsia="fr-FR"/>
                <w14:ligatures w14:val="none"/>
              </w:rPr>
              <w:t>Type d’indicateur</w:t>
            </w:r>
          </w:p>
        </w:tc>
        <w:tc>
          <w:tcPr>
            <w:tcW w:w="5153" w:type="dxa"/>
            <w:tcBorders>
              <w:top w:val="single" w:sz="4" w:space="0" w:color="auto"/>
              <w:left w:val="nil"/>
              <w:bottom w:val="single" w:sz="4" w:space="0" w:color="auto"/>
              <w:right w:val="single" w:sz="4" w:space="0" w:color="auto"/>
            </w:tcBorders>
            <w:noWrap/>
            <w:vAlign w:val="bottom"/>
            <w:hideMark/>
          </w:tcPr>
          <w:p w14:paraId="17738924" w14:textId="77777777" w:rsidR="00B36648" w:rsidRPr="00B36648" w:rsidRDefault="00B36648" w:rsidP="00B36648">
            <w:pPr>
              <w:spacing w:after="0" w:line="240" w:lineRule="auto"/>
              <w:rPr>
                <w:rFonts w:ascii="Aptos Narrow" w:eastAsia="Times New Roman" w:hAnsi="Aptos Narrow" w:cs="Times New Roman"/>
                <w:b/>
                <w:bCs/>
                <w:color w:val="000000"/>
                <w:kern w:val="0"/>
                <w:lang w:eastAsia="fr-FR"/>
                <w14:ligatures w14:val="none"/>
              </w:rPr>
            </w:pPr>
            <w:r w:rsidRPr="00B36648">
              <w:rPr>
                <w:rFonts w:ascii="Aptos Narrow" w:eastAsia="Times New Roman" w:hAnsi="Aptos Narrow" w:cs="Times New Roman"/>
                <w:b/>
                <w:bCs/>
                <w:color w:val="000000"/>
                <w:kern w:val="0"/>
                <w:lang w:eastAsia="fr-FR"/>
                <w14:ligatures w14:val="none"/>
              </w:rPr>
              <w:t>Question</w:t>
            </w:r>
          </w:p>
        </w:tc>
        <w:tc>
          <w:tcPr>
            <w:tcW w:w="8909" w:type="dxa"/>
            <w:tcBorders>
              <w:top w:val="single" w:sz="4" w:space="0" w:color="auto"/>
              <w:left w:val="nil"/>
              <w:bottom w:val="single" w:sz="4" w:space="0" w:color="auto"/>
              <w:right w:val="single" w:sz="4" w:space="0" w:color="auto"/>
            </w:tcBorders>
            <w:noWrap/>
            <w:vAlign w:val="bottom"/>
            <w:hideMark/>
          </w:tcPr>
          <w:p w14:paraId="4660DC0E" w14:textId="77777777" w:rsidR="00B36648" w:rsidRPr="00B36648" w:rsidRDefault="00B36648" w:rsidP="00B36648">
            <w:pPr>
              <w:spacing w:after="0" w:line="240" w:lineRule="auto"/>
              <w:rPr>
                <w:rFonts w:ascii="Aptos Narrow" w:eastAsia="Times New Roman" w:hAnsi="Aptos Narrow" w:cs="Times New Roman"/>
                <w:b/>
                <w:bCs/>
                <w:color w:val="000000"/>
                <w:kern w:val="0"/>
                <w:lang w:eastAsia="fr-FR"/>
                <w14:ligatures w14:val="none"/>
              </w:rPr>
            </w:pPr>
            <w:r w:rsidRPr="00B36648">
              <w:rPr>
                <w:rFonts w:ascii="Aptos Narrow" w:eastAsia="Times New Roman" w:hAnsi="Aptos Narrow" w:cs="Times New Roman"/>
                <w:b/>
                <w:bCs/>
                <w:color w:val="000000"/>
                <w:kern w:val="0"/>
                <w:lang w:eastAsia="fr-FR"/>
                <w14:ligatures w14:val="none"/>
              </w:rPr>
              <w:t>Exemple d’indicateur</w:t>
            </w:r>
          </w:p>
        </w:tc>
      </w:tr>
      <w:tr w:rsidR="00B36648" w:rsidRPr="00B36648" w14:paraId="24441F57" w14:textId="77777777" w:rsidTr="00F91BC1">
        <w:trPr>
          <w:trHeight w:val="357"/>
        </w:trPr>
        <w:tc>
          <w:tcPr>
            <w:tcW w:w="2096" w:type="dxa"/>
            <w:tcBorders>
              <w:top w:val="nil"/>
              <w:left w:val="single" w:sz="4" w:space="0" w:color="auto"/>
              <w:bottom w:val="single" w:sz="4" w:space="0" w:color="auto"/>
              <w:right w:val="single" w:sz="4" w:space="0" w:color="auto"/>
            </w:tcBorders>
            <w:noWrap/>
            <w:vAlign w:val="bottom"/>
            <w:hideMark/>
          </w:tcPr>
          <w:p w14:paraId="10E6118E" w14:textId="77777777" w:rsidR="00B36648" w:rsidRPr="00B36648" w:rsidRDefault="00B36648" w:rsidP="00B36648">
            <w:pPr>
              <w:spacing w:after="0" w:line="240" w:lineRule="auto"/>
              <w:rPr>
                <w:rFonts w:ascii="Aptos Narrow" w:eastAsia="Times New Roman" w:hAnsi="Aptos Narrow" w:cs="Times New Roman"/>
                <w:b/>
                <w:bCs/>
                <w:color w:val="000000"/>
                <w:kern w:val="0"/>
                <w:lang w:eastAsia="fr-FR"/>
                <w14:ligatures w14:val="none"/>
              </w:rPr>
            </w:pPr>
            <w:r w:rsidRPr="00B36648">
              <w:rPr>
                <w:rFonts w:ascii="Aptos Narrow" w:eastAsia="Times New Roman" w:hAnsi="Aptos Narrow" w:cs="Times New Roman"/>
                <w:b/>
                <w:bCs/>
                <w:color w:val="000000"/>
                <w:kern w:val="0"/>
                <w:lang w:eastAsia="fr-FR"/>
                <w14:ligatures w14:val="none"/>
              </w:rPr>
              <w:t>Prestation (Provision)</w:t>
            </w:r>
          </w:p>
        </w:tc>
        <w:tc>
          <w:tcPr>
            <w:tcW w:w="5153" w:type="dxa"/>
            <w:tcBorders>
              <w:top w:val="nil"/>
              <w:left w:val="nil"/>
              <w:bottom w:val="single" w:sz="4" w:space="0" w:color="auto"/>
              <w:right w:val="single" w:sz="4" w:space="0" w:color="auto"/>
            </w:tcBorders>
            <w:noWrap/>
            <w:vAlign w:val="bottom"/>
            <w:hideMark/>
          </w:tcPr>
          <w:p w14:paraId="653C3B51"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Les services sont-ils disponibles ?</w:t>
            </w:r>
          </w:p>
        </w:tc>
        <w:tc>
          <w:tcPr>
            <w:tcW w:w="8909" w:type="dxa"/>
            <w:tcBorders>
              <w:top w:val="nil"/>
              <w:left w:val="nil"/>
              <w:bottom w:val="single" w:sz="4" w:space="0" w:color="auto"/>
              <w:right w:val="single" w:sz="4" w:space="0" w:color="auto"/>
            </w:tcBorders>
            <w:noWrap/>
            <w:vAlign w:val="bottom"/>
            <w:hideMark/>
          </w:tcPr>
          <w:p w14:paraId="52BC7E3F"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Nombre d’établissements de santé offrant des activités CDD pour 100 000 habitants</w:t>
            </w:r>
          </w:p>
        </w:tc>
      </w:tr>
      <w:tr w:rsidR="00B36648" w:rsidRPr="00B36648" w14:paraId="0F64D982" w14:textId="77777777" w:rsidTr="00F91BC1">
        <w:trPr>
          <w:trHeight w:val="357"/>
        </w:trPr>
        <w:tc>
          <w:tcPr>
            <w:tcW w:w="2096" w:type="dxa"/>
            <w:tcBorders>
              <w:top w:val="nil"/>
              <w:left w:val="single" w:sz="4" w:space="0" w:color="auto"/>
              <w:bottom w:val="single" w:sz="4" w:space="0" w:color="auto"/>
              <w:right w:val="single" w:sz="4" w:space="0" w:color="auto"/>
            </w:tcBorders>
            <w:noWrap/>
            <w:vAlign w:val="bottom"/>
            <w:hideMark/>
          </w:tcPr>
          <w:p w14:paraId="64730806"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 </w:t>
            </w:r>
          </w:p>
        </w:tc>
        <w:tc>
          <w:tcPr>
            <w:tcW w:w="5153" w:type="dxa"/>
            <w:tcBorders>
              <w:top w:val="nil"/>
              <w:left w:val="nil"/>
              <w:bottom w:val="single" w:sz="4" w:space="0" w:color="auto"/>
              <w:right w:val="single" w:sz="4" w:space="0" w:color="auto"/>
            </w:tcBorders>
            <w:noWrap/>
            <w:vAlign w:val="bottom"/>
            <w:hideMark/>
          </w:tcPr>
          <w:p w14:paraId="2C07A998"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Sont-ils accessibles ?</w:t>
            </w:r>
          </w:p>
        </w:tc>
        <w:tc>
          <w:tcPr>
            <w:tcW w:w="8909" w:type="dxa"/>
            <w:tcBorders>
              <w:top w:val="nil"/>
              <w:left w:val="nil"/>
              <w:bottom w:val="single" w:sz="4" w:space="0" w:color="auto"/>
              <w:right w:val="single" w:sz="4" w:space="0" w:color="auto"/>
            </w:tcBorders>
            <w:noWrap/>
            <w:vAlign w:val="bottom"/>
            <w:hideMark/>
          </w:tcPr>
          <w:p w14:paraId="3D01F6C6"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Proportion de la population vivant à moins de 10 km d’un établissement de santé offrant des activités CDD</w:t>
            </w:r>
          </w:p>
        </w:tc>
      </w:tr>
      <w:tr w:rsidR="00B36648" w:rsidRPr="00B36648" w14:paraId="106343FB" w14:textId="77777777" w:rsidTr="00F91BC1">
        <w:trPr>
          <w:trHeight w:val="357"/>
        </w:trPr>
        <w:tc>
          <w:tcPr>
            <w:tcW w:w="2096" w:type="dxa"/>
            <w:tcBorders>
              <w:top w:val="nil"/>
              <w:left w:val="single" w:sz="4" w:space="0" w:color="auto"/>
              <w:bottom w:val="single" w:sz="4" w:space="0" w:color="auto"/>
              <w:right w:val="single" w:sz="4" w:space="0" w:color="auto"/>
            </w:tcBorders>
            <w:noWrap/>
            <w:vAlign w:val="bottom"/>
            <w:hideMark/>
          </w:tcPr>
          <w:p w14:paraId="2AF8FFF5"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 </w:t>
            </w:r>
          </w:p>
        </w:tc>
        <w:tc>
          <w:tcPr>
            <w:tcW w:w="5153" w:type="dxa"/>
            <w:tcBorders>
              <w:top w:val="nil"/>
              <w:left w:val="nil"/>
              <w:bottom w:val="single" w:sz="4" w:space="0" w:color="auto"/>
              <w:right w:val="single" w:sz="4" w:space="0" w:color="auto"/>
            </w:tcBorders>
            <w:noWrap/>
            <w:vAlign w:val="bottom"/>
            <w:hideMark/>
          </w:tcPr>
          <w:p w14:paraId="2D802888"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Leur qualité est-elle adéquate ?</w:t>
            </w:r>
          </w:p>
        </w:tc>
        <w:tc>
          <w:tcPr>
            <w:tcW w:w="8909" w:type="dxa"/>
            <w:tcBorders>
              <w:top w:val="nil"/>
              <w:left w:val="nil"/>
              <w:bottom w:val="single" w:sz="4" w:space="0" w:color="auto"/>
              <w:right w:val="single" w:sz="4" w:space="0" w:color="auto"/>
            </w:tcBorders>
            <w:noWrap/>
            <w:vAlign w:val="bottom"/>
            <w:hideMark/>
          </w:tcPr>
          <w:p w14:paraId="289FAAAC"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Proportion du personnel de santé ayant reçu récemment une formation CDD</w:t>
            </w:r>
          </w:p>
        </w:tc>
      </w:tr>
      <w:tr w:rsidR="00B36648" w:rsidRPr="00B36648" w14:paraId="3D724104" w14:textId="77777777" w:rsidTr="00F91BC1">
        <w:trPr>
          <w:trHeight w:val="357"/>
        </w:trPr>
        <w:tc>
          <w:tcPr>
            <w:tcW w:w="2096" w:type="dxa"/>
            <w:tcBorders>
              <w:top w:val="nil"/>
              <w:left w:val="single" w:sz="4" w:space="0" w:color="auto"/>
              <w:bottom w:val="single" w:sz="4" w:space="0" w:color="auto"/>
              <w:right w:val="single" w:sz="4" w:space="0" w:color="auto"/>
            </w:tcBorders>
            <w:noWrap/>
            <w:vAlign w:val="bottom"/>
            <w:hideMark/>
          </w:tcPr>
          <w:p w14:paraId="4B33B033" w14:textId="77777777" w:rsidR="00B36648" w:rsidRPr="00B36648" w:rsidRDefault="00B36648" w:rsidP="00B36648">
            <w:pPr>
              <w:spacing w:after="0" w:line="240" w:lineRule="auto"/>
              <w:rPr>
                <w:rFonts w:ascii="Aptos Narrow" w:eastAsia="Times New Roman" w:hAnsi="Aptos Narrow" w:cs="Times New Roman"/>
                <w:b/>
                <w:bCs/>
                <w:color w:val="000000"/>
                <w:kern w:val="0"/>
                <w:lang w:eastAsia="fr-FR"/>
                <w14:ligatures w14:val="none"/>
              </w:rPr>
            </w:pPr>
            <w:r w:rsidRPr="00B36648">
              <w:rPr>
                <w:rFonts w:ascii="Aptos Narrow" w:eastAsia="Times New Roman" w:hAnsi="Aptos Narrow" w:cs="Times New Roman"/>
                <w:b/>
                <w:bCs/>
                <w:color w:val="000000"/>
                <w:kern w:val="0"/>
                <w:lang w:eastAsia="fr-FR"/>
                <w14:ligatures w14:val="none"/>
              </w:rPr>
              <w:t>Utilisation (</w:t>
            </w:r>
            <w:proofErr w:type="spellStart"/>
            <w:r w:rsidRPr="00B36648">
              <w:rPr>
                <w:rFonts w:ascii="Aptos Narrow" w:eastAsia="Times New Roman" w:hAnsi="Aptos Narrow" w:cs="Times New Roman"/>
                <w:b/>
                <w:bCs/>
                <w:color w:val="000000"/>
                <w:kern w:val="0"/>
                <w:lang w:eastAsia="fr-FR"/>
                <w14:ligatures w14:val="none"/>
              </w:rPr>
              <w:t>Utilization</w:t>
            </w:r>
            <w:proofErr w:type="spellEnd"/>
            <w:r w:rsidRPr="00B36648">
              <w:rPr>
                <w:rFonts w:ascii="Aptos Narrow" w:eastAsia="Times New Roman" w:hAnsi="Aptos Narrow" w:cs="Times New Roman"/>
                <w:b/>
                <w:bCs/>
                <w:color w:val="000000"/>
                <w:kern w:val="0"/>
                <w:lang w:eastAsia="fr-FR"/>
                <w14:ligatures w14:val="none"/>
              </w:rPr>
              <w:t>)</w:t>
            </w:r>
          </w:p>
        </w:tc>
        <w:tc>
          <w:tcPr>
            <w:tcW w:w="5153" w:type="dxa"/>
            <w:tcBorders>
              <w:top w:val="nil"/>
              <w:left w:val="nil"/>
              <w:bottom w:val="single" w:sz="4" w:space="0" w:color="auto"/>
              <w:right w:val="single" w:sz="4" w:space="0" w:color="auto"/>
            </w:tcBorders>
            <w:noWrap/>
            <w:vAlign w:val="bottom"/>
            <w:hideMark/>
          </w:tcPr>
          <w:p w14:paraId="18FB8153"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Les services sont-ils utilisés ?</w:t>
            </w:r>
          </w:p>
        </w:tc>
        <w:tc>
          <w:tcPr>
            <w:tcW w:w="8909" w:type="dxa"/>
            <w:tcBorders>
              <w:top w:val="nil"/>
              <w:left w:val="nil"/>
              <w:bottom w:val="single" w:sz="4" w:space="0" w:color="auto"/>
              <w:right w:val="single" w:sz="4" w:space="0" w:color="auto"/>
            </w:tcBorders>
            <w:noWrap/>
            <w:vAlign w:val="bottom"/>
            <w:hideMark/>
          </w:tcPr>
          <w:p w14:paraId="039D1D1B"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Nombre de consultations d’enfants de moins de cinq ans atteints de diarrhée pour 1 000 enfants</w:t>
            </w:r>
          </w:p>
        </w:tc>
      </w:tr>
      <w:tr w:rsidR="00B36648" w:rsidRPr="00B36648" w14:paraId="48651681" w14:textId="77777777" w:rsidTr="00F91BC1">
        <w:trPr>
          <w:trHeight w:val="357"/>
        </w:trPr>
        <w:tc>
          <w:tcPr>
            <w:tcW w:w="2096" w:type="dxa"/>
            <w:tcBorders>
              <w:top w:val="nil"/>
              <w:left w:val="single" w:sz="4" w:space="0" w:color="auto"/>
              <w:bottom w:val="single" w:sz="4" w:space="0" w:color="auto"/>
              <w:right w:val="single" w:sz="4" w:space="0" w:color="auto"/>
            </w:tcBorders>
            <w:noWrap/>
            <w:vAlign w:val="bottom"/>
            <w:hideMark/>
          </w:tcPr>
          <w:p w14:paraId="633516BC"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 </w:t>
            </w:r>
          </w:p>
        </w:tc>
        <w:tc>
          <w:tcPr>
            <w:tcW w:w="5153" w:type="dxa"/>
            <w:tcBorders>
              <w:top w:val="nil"/>
              <w:left w:val="nil"/>
              <w:bottom w:val="single" w:sz="4" w:space="0" w:color="auto"/>
              <w:right w:val="single" w:sz="4" w:space="0" w:color="auto"/>
            </w:tcBorders>
            <w:noWrap/>
            <w:vAlign w:val="bottom"/>
            <w:hideMark/>
          </w:tcPr>
          <w:p w14:paraId="06B613CD"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 </w:t>
            </w:r>
          </w:p>
        </w:tc>
        <w:tc>
          <w:tcPr>
            <w:tcW w:w="8909" w:type="dxa"/>
            <w:tcBorders>
              <w:top w:val="nil"/>
              <w:left w:val="nil"/>
              <w:bottom w:val="single" w:sz="4" w:space="0" w:color="auto"/>
              <w:right w:val="single" w:sz="4" w:space="0" w:color="auto"/>
            </w:tcBorders>
            <w:noWrap/>
            <w:vAlign w:val="bottom"/>
            <w:hideMark/>
          </w:tcPr>
          <w:p w14:paraId="1222495C"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Nombre de sachets de SRO (solution de réhydratation orale) distribués</w:t>
            </w:r>
          </w:p>
        </w:tc>
      </w:tr>
      <w:tr w:rsidR="00B36648" w:rsidRPr="00B36648" w14:paraId="3D15BFF2" w14:textId="77777777" w:rsidTr="00F91BC1">
        <w:trPr>
          <w:trHeight w:val="357"/>
        </w:trPr>
        <w:tc>
          <w:tcPr>
            <w:tcW w:w="2096" w:type="dxa"/>
            <w:tcBorders>
              <w:top w:val="nil"/>
              <w:left w:val="single" w:sz="4" w:space="0" w:color="auto"/>
              <w:bottom w:val="single" w:sz="4" w:space="0" w:color="auto"/>
              <w:right w:val="single" w:sz="4" w:space="0" w:color="auto"/>
            </w:tcBorders>
            <w:noWrap/>
            <w:vAlign w:val="bottom"/>
            <w:hideMark/>
          </w:tcPr>
          <w:p w14:paraId="691D22A9" w14:textId="77777777" w:rsidR="00B36648" w:rsidRPr="00B36648" w:rsidRDefault="00B36648" w:rsidP="00B36648">
            <w:pPr>
              <w:spacing w:after="0" w:line="240" w:lineRule="auto"/>
              <w:rPr>
                <w:rFonts w:ascii="Aptos Narrow" w:eastAsia="Times New Roman" w:hAnsi="Aptos Narrow" w:cs="Times New Roman"/>
                <w:b/>
                <w:bCs/>
                <w:color w:val="000000"/>
                <w:kern w:val="0"/>
                <w:lang w:eastAsia="fr-FR"/>
                <w14:ligatures w14:val="none"/>
              </w:rPr>
            </w:pPr>
            <w:r w:rsidRPr="00B36648">
              <w:rPr>
                <w:rFonts w:ascii="Aptos Narrow" w:eastAsia="Times New Roman" w:hAnsi="Aptos Narrow" w:cs="Times New Roman"/>
                <w:b/>
                <w:bCs/>
                <w:color w:val="000000"/>
                <w:kern w:val="0"/>
                <w:lang w:eastAsia="fr-FR"/>
                <w14:ligatures w14:val="none"/>
              </w:rPr>
              <w:t>Couverture (</w:t>
            </w:r>
            <w:proofErr w:type="spellStart"/>
            <w:r w:rsidRPr="00B36648">
              <w:rPr>
                <w:rFonts w:ascii="Aptos Narrow" w:eastAsia="Times New Roman" w:hAnsi="Aptos Narrow" w:cs="Times New Roman"/>
                <w:b/>
                <w:bCs/>
                <w:color w:val="000000"/>
                <w:kern w:val="0"/>
                <w:lang w:eastAsia="fr-FR"/>
                <w14:ligatures w14:val="none"/>
              </w:rPr>
              <w:t>Coverage</w:t>
            </w:r>
            <w:proofErr w:type="spellEnd"/>
            <w:r w:rsidRPr="00B36648">
              <w:rPr>
                <w:rFonts w:ascii="Aptos Narrow" w:eastAsia="Times New Roman" w:hAnsi="Aptos Narrow" w:cs="Times New Roman"/>
                <w:b/>
                <w:bCs/>
                <w:color w:val="000000"/>
                <w:kern w:val="0"/>
                <w:lang w:eastAsia="fr-FR"/>
                <w14:ligatures w14:val="none"/>
              </w:rPr>
              <w:t>)</w:t>
            </w:r>
          </w:p>
        </w:tc>
        <w:tc>
          <w:tcPr>
            <w:tcW w:w="5153" w:type="dxa"/>
            <w:tcBorders>
              <w:top w:val="nil"/>
              <w:left w:val="nil"/>
              <w:bottom w:val="single" w:sz="4" w:space="0" w:color="auto"/>
              <w:right w:val="single" w:sz="4" w:space="0" w:color="auto"/>
            </w:tcBorders>
            <w:noWrap/>
            <w:vAlign w:val="bottom"/>
            <w:hideMark/>
          </w:tcPr>
          <w:p w14:paraId="1DC79865"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La population cible est-elle atteinte ?</w:t>
            </w:r>
          </w:p>
        </w:tc>
        <w:tc>
          <w:tcPr>
            <w:tcW w:w="8909" w:type="dxa"/>
            <w:tcBorders>
              <w:top w:val="nil"/>
              <w:left w:val="nil"/>
              <w:bottom w:val="single" w:sz="4" w:space="0" w:color="auto"/>
              <w:right w:val="single" w:sz="4" w:space="0" w:color="auto"/>
            </w:tcBorders>
            <w:noWrap/>
            <w:vAlign w:val="bottom"/>
            <w:hideMark/>
          </w:tcPr>
          <w:p w14:paraId="0D2E1CDB"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Proportion de tous les enfants de moins de cinq ans atteints de diarrhée ayant utilisé la SRO</w:t>
            </w:r>
          </w:p>
        </w:tc>
      </w:tr>
      <w:tr w:rsidR="00B36648" w:rsidRPr="00B36648" w14:paraId="5DEBE079" w14:textId="77777777" w:rsidTr="00F91BC1">
        <w:trPr>
          <w:trHeight w:val="357"/>
        </w:trPr>
        <w:tc>
          <w:tcPr>
            <w:tcW w:w="2096" w:type="dxa"/>
            <w:tcBorders>
              <w:top w:val="nil"/>
              <w:left w:val="single" w:sz="4" w:space="0" w:color="auto"/>
              <w:bottom w:val="single" w:sz="4" w:space="0" w:color="auto"/>
              <w:right w:val="single" w:sz="4" w:space="0" w:color="auto"/>
            </w:tcBorders>
            <w:noWrap/>
            <w:vAlign w:val="bottom"/>
            <w:hideMark/>
          </w:tcPr>
          <w:p w14:paraId="06717E36" w14:textId="77777777" w:rsidR="00B36648" w:rsidRPr="00B36648" w:rsidRDefault="00B36648" w:rsidP="00B36648">
            <w:pPr>
              <w:spacing w:after="0" w:line="240" w:lineRule="auto"/>
              <w:rPr>
                <w:rFonts w:ascii="Aptos Narrow" w:eastAsia="Times New Roman" w:hAnsi="Aptos Narrow" w:cs="Times New Roman"/>
                <w:b/>
                <w:bCs/>
                <w:color w:val="000000"/>
                <w:kern w:val="0"/>
                <w:lang w:eastAsia="fr-FR"/>
                <w14:ligatures w14:val="none"/>
              </w:rPr>
            </w:pPr>
            <w:r w:rsidRPr="00B36648">
              <w:rPr>
                <w:rFonts w:ascii="Aptos Narrow" w:eastAsia="Times New Roman" w:hAnsi="Aptos Narrow" w:cs="Times New Roman"/>
                <w:b/>
                <w:bCs/>
                <w:color w:val="000000"/>
                <w:kern w:val="0"/>
                <w:lang w:eastAsia="fr-FR"/>
                <w14:ligatures w14:val="none"/>
              </w:rPr>
              <w:t>Impact</w:t>
            </w:r>
          </w:p>
        </w:tc>
        <w:tc>
          <w:tcPr>
            <w:tcW w:w="5153" w:type="dxa"/>
            <w:tcBorders>
              <w:top w:val="nil"/>
              <w:left w:val="nil"/>
              <w:bottom w:val="single" w:sz="4" w:space="0" w:color="auto"/>
              <w:right w:val="single" w:sz="4" w:space="0" w:color="auto"/>
            </w:tcBorders>
            <w:noWrap/>
            <w:vAlign w:val="bottom"/>
            <w:hideMark/>
          </w:tcPr>
          <w:p w14:paraId="4B03822F"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Y a-t-il eu des améliorations dans les profils de la maladie ?</w:t>
            </w:r>
          </w:p>
        </w:tc>
        <w:tc>
          <w:tcPr>
            <w:tcW w:w="8909" w:type="dxa"/>
            <w:tcBorders>
              <w:top w:val="nil"/>
              <w:left w:val="nil"/>
              <w:bottom w:val="single" w:sz="4" w:space="0" w:color="auto"/>
              <w:right w:val="single" w:sz="4" w:space="0" w:color="auto"/>
            </w:tcBorders>
            <w:noWrap/>
            <w:vAlign w:val="bottom"/>
            <w:hideMark/>
          </w:tcPr>
          <w:p w14:paraId="60A61120" w14:textId="77777777" w:rsidR="00B36648" w:rsidRPr="00B36648" w:rsidRDefault="00B36648" w:rsidP="00B36648">
            <w:pPr>
              <w:spacing w:after="0" w:line="240" w:lineRule="auto"/>
              <w:rPr>
                <w:rFonts w:ascii="Aptos Narrow" w:eastAsia="Times New Roman" w:hAnsi="Aptos Narrow" w:cs="Times New Roman"/>
                <w:color w:val="000000"/>
                <w:kern w:val="0"/>
                <w:lang w:eastAsia="fr-FR"/>
                <w14:ligatures w14:val="none"/>
              </w:rPr>
            </w:pPr>
            <w:r w:rsidRPr="00B36648">
              <w:rPr>
                <w:rFonts w:ascii="Aptos Narrow" w:eastAsia="Times New Roman" w:hAnsi="Aptos Narrow" w:cs="Times New Roman"/>
                <w:color w:val="000000"/>
                <w:kern w:val="0"/>
                <w:lang w:eastAsia="fr-FR"/>
                <w14:ligatures w14:val="none"/>
              </w:rPr>
              <w:t>Tendances temporelles des décès dus à la diarrhée et des admissions hospitalières</w:t>
            </w:r>
          </w:p>
        </w:tc>
      </w:tr>
    </w:tbl>
    <w:p w14:paraId="16569894" w14:textId="77777777" w:rsidR="00B36648" w:rsidRDefault="00B36648" w:rsidP="000F6B61">
      <w:pPr>
        <w:pStyle w:val="NormalWeb"/>
        <w:spacing w:line="360" w:lineRule="auto"/>
        <w:jc w:val="both"/>
        <w:rPr>
          <w:color w:val="000000"/>
        </w:rPr>
      </w:pPr>
    </w:p>
    <w:p w14:paraId="5903DA5B" w14:textId="77777777" w:rsidR="00A5077F" w:rsidRDefault="00A5077F">
      <w:pPr>
        <w:sectPr w:rsidR="00A5077F" w:rsidSect="00F91BC1">
          <w:pgSz w:w="16838" w:h="11906" w:orient="landscape"/>
          <w:pgMar w:top="1417" w:right="1417" w:bottom="1417" w:left="1417" w:header="708" w:footer="708" w:gutter="0"/>
          <w:cols w:space="708"/>
          <w:docGrid w:linePitch="360"/>
        </w:sectPr>
      </w:pPr>
    </w:p>
    <w:p w14:paraId="24A0E178" w14:textId="77777777" w:rsidR="00A5077F" w:rsidRPr="00A5077F" w:rsidRDefault="00A5077F" w:rsidP="00A5077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A5077F">
        <w:rPr>
          <w:rFonts w:ascii="Times New Roman" w:eastAsia="Times New Roman" w:hAnsi="Times New Roman" w:cs="Times New Roman"/>
          <w:b/>
          <w:bCs/>
          <w:color w:val="000000"/>
          <w:kern w:val="0"/>
          <w:sz w:val="27"/>
          <w:szCs w:val="27"/>
          <w:lang w:eastAsia="fr-FR"/>
          <w14:ligatures w14:val="none"/>
        </w:rPr>
        <w:lastRenderedPageBreak/>
        <w:t>Résumé : Modèles d’évaluation des programmes de santé publique</w:t>
      </w:r>
    </w:p>
    <w:p w14:paraId="4AF67BB8" w14:textId="77777777" w:rsidR="00A5077F" w:rsidRPr="00A5077F" w:rsidRDefault="00A5077F" w:rsidP="00A5077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Objectif des évaluations :</w:t>
      </w:r>
      <w:r w:rsidRPr="00A5077F">
        <w:rPr>
          <w:rFonts w:ascii="Times New Roman" w:eastAsia="Times New Roman" w:hAnsi="Times New Roman" w:cs="Times New Roman"/>
          <w:color w:val="000000"/>
          <w:kern w:val="0"/>
          <w:lang w:eastAsia="fr-FR"/>
          <w14:ligatures w14:val="none"/>
        </w:rPr>
        <w:br/>
        <w:t>L’évaluation d’un programme vise avant tout à influencer les décisions des décideurs. La complexité et la précision requises dépendent du type de décideur et des décisions à prendre (poursuite, modification, extension ou arrêt du programme). Les évaluations doivent rester rigoureuses, qu’elles soient simples ou complexes, et correspondre aux besoins spécifiques des décideurs.</w:t>
      </w:r>
    </w:p>
    <w:p w14:paraId="6CF52934" w14:textId="77777777" w:rsidR="00A5077F" w:rsidRPr="00A5077F" w:rsidRDefault="00A5077F" w:rsidP="00A5077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Axes de conception de l’évaluation :</w:t>
      </w:r>
    </w:p>
    <w:p w14:paraId="143AB2F1" w14:textId="77777777" w:rsidR="00A5077F" w:rsidRPr="00A5077F" w:rsidRDefault="00A5077F" w:rsidP="00A5077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Indicateurs à mesurer :</w:t>
      </w:r>
    </w:p>
    <w:p w14:paraId="2AEF958E" w14:textId="77777777" w:rsidR="00A5077F" w:rsidRPr="00A5077F" w:rsidRDefault="00A5077F" w:rsidP="00A5077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Prestation</w:t>
      </w:r>
      <w:r w:rsidRPr="00A5077F">
        <w:rPr>
          <w:rFonts w:ascii="Times New Roman" w:eastAsia="Times New Roman" w:hAnsi="Times New Roman" w:cs="Times New Roman"/>
          <w:color w:val="000000"/>
          <w:kern w:val="0"/>
          <w:lang w:eastAsia="fr-FR"/>
          <w14:ligatures w14:val="none"/>
        </w:rPr>
        <w:t> : disponibilité, accessibilité et qualité des services.</w:t>
      </w:r>
    </w:p>
    <w:p w14:paraId="44491F6F" w14:textId="77777777" w:rsidR="00A5077F" w:rsidRPr="00A5077F" w:rsidRDefault="00A5077F" w:rsidP="00A5077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Utilisation</w:t>
      </w:r>
      <w:r w:rsidRPr="00A5077F">
        <w:rPr>
          <w:rFonts w:ascii="Times New Roman" w:eastAsia="Times New Roman" w:hAnsi="Times New Roman" w:cs="Times New Roman"/>
          <w:color w:val="000000"/>
          <w:kern w:val="0"/>
          <w:lang w:eastAsia="fr-FR"/>
          <w14:ligatures w14:val="none"/>
        </w:rPr>
        <w:t> : usage effectif des services par la population.</w:t>
      </w:r>
    </w:p>
    <w:p w14:paraId="4447BDAA" w14:textId="77777777" w:rsidR="00A5077F" w:rsidRPr="00A5077F" w:rsidRDefault="00A5077F" w:rsidP="00A5077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Couverture</w:t>
      </w:r>
      <w:r w:rsidRPr="00A5077F">
        <w:rPr>
          <w:rFonts w:ascii="Times New Roman" w:eastAsia="Times New Roman" w:hAnsi="Times New Roman" w:cs="Times New Roman"/>
          <w:color w:val="000000"/>
          <w:kern w:val="0"/>
          <w:lang w:eastAsia="fr-FR"/>
          <w14:ligatures w14:val="none"/>
        </w:rPr>
        <w:t> : proportion de la population cible atteinte.</w:t>
      </w:r>
    </w:p>
    <w:p w14:paraId="0F440285" w14:textId="77777777" w:rsidR="00A5077F" w:rsidRPr="00A5077F" w:rsidRDefault="00A5077F" w:rsidP="00A5077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Impact</w:t>
      </w:r>
      <w:r w:rsidRPr="00A5077F">
        <w:rPr>
          <w:rFonts w:ascii="Times New Roman" w:eastAsia="Times New Roman" w:hAnsi="Times New Roman" w:cs="Times New Roman"/>
          <w:color w:val="000000"/>
          <w:kern w:val="0"/>
          <w:lang w:eastAsia="fr-FR"/>
          <w14:ligatures w14:val="none"/>
        </w:rPr>
        <w:t> : effets sur la santé ou les comportements.</w:t>
      </w:r>
    </w:p>
    <w:p w14:paraId="3F21610A" w14:textId="77777777" w:rsidR="00A5077F" w:rsidRPr="00A5077F" w:rsidRDefault="00A5077F" w:rsidP="00A5077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Type d’inférence :</w:t>
      </w:r>
    </w:p>
    <w:p w14:paraId="7E94835D" w14:textId="77777777" w:rsidR="00A5077F" w:rsidRPr="00A5077F" w:rsidRDefault="00A5077F" w:rsidP="00A5077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Adéquation</w:t>
      </w:r>
      <w:r w:rsidRPr="00A5077F">
        <w:rPr>
          <w:rFonts w:ascii="Times New Roman" w:eastAsia="Times New Roman" w:hAnsi="Times New Roman" w:cs="Times New Roman"/>
          <w:color w:val="000000"/>
          <w:kern w:val="0"/>
          <w:lang w:eastAsia="fr-FR"/>
          <w14:ligatures w14:val="none"/>
        </w:rPr>
        <w:t> : les objectifs ont-ils été atteints selon des critères prédéfinis ?</w:t>
      </w:r>
    </w:p>
    <w:p w14:paraId="2280729C" w14:textId="77777777" w:rsidR="00A5077F" w:rsidRPr="00A5077F" w:rsidRDefault="00A5077F" w:rsidP="00A5077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Plausibilité</w:t>
      </w:r>
      <w:r w:rsidRPr="00A5077F">
        <w:rPr>
          <w:rFonts w:ascii="Times New Roman" w:eastAsia="Times New Roman" w:hAnsi="Times New Roman" w:cs="Times New Roman"/>
          <w:color w:val="000000"/>
          <w:kern w:val="0"/>
          <w:lang w:eastAsia="fr-FR"/>
          <w14:ligatures w14:val="none"/>
        </w:rPr>
        <w:t> : les effets observés peuvent-ils être attribués au programme en excluant d’autres influences externes ?</w:t>
      </w:r>
    </w:p>
    <w:p w14:paraId="34B98CD6" w14:textId="77777777" w:rsidR="00A5077F" w:rsidRPr="00A5077F" w:rsidRDefault="00A5077F" w:rsidP="00A5077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Probabilité</w:t>
      </w:r>
      <w:r w:rsidRPr="00A5077F">
        <w:rPr>
          <w:rFonts w:ascii="Times New Roman" w:eastAsia="Times New Roman" w:hAnsi="Times New Roman" w:cs="Times New Roman"/>
          <w:color w:val="000000"/>
          <w:kern w:val="0"/>
          <w:lang w:eastAsia="fr-FR"/>
          <w14:ligatures w14:val="none"/>
        </w:rPr>
        <w:t> : les effets sont-ils statistiquement attribuables au programme (randomisation, essais contrôlés) ?</w:t>
      </w:r>
    </w:p>
    <w:p w14:paraId="4D5CB021" w14:textId="77777777" w:rsidR="00A5077F" w:rsidRPr="00A5077F" w:rsidRDefault="00A5077F" w:rsidP="00A5077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Combinaison des axes :</w:t>
      </w:r>
      <w:r w:rsidRPr="00A5077F">
        <w:rPr>
          <w:rFonts w:ascii="Times New Roman" w:eastAsia="Times New Roman" w:hAnsi="Times New Roman" w:cs="Times New Roman"/>
          <w:color w:val="000000"/>
          <w:kern w:val="0"/>
          <w:lang w:eastAsia="fr-FR"/>
          <w14:ligatures w14:val="none"/>
        </w:rPr>
        <w:br/>
        <w:t>Chaque indicateur (prestation, utilisation, couverture, impact) peut être évalué selon l’adéquation, la plausibilité ou la probabilité, en fonction des besoins du décideur et de la disponibilité des données.</w:t>
      </w:r>
    </w:p>
    <w:p w14:paraId="77DDB947" w14:textId="77777777" w:rsidR="00A5077F" w:rsidRPr="00A5077F" w:rsidRDefault="00A5077F" w:rsidP="00A5077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Facteurs influençant le choix du plan :</w:t>
      </w:r>
    </w:p>
    <w:p w14:paraId="1019CA16" w14:textId="77777777" w:rsidR="00A5077F" w:rsidRPr="00A5077F" w:rsidRDefault="00A5077F" w:rsidP="00A5077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Efficacité connue de l’intervention</w:t>
      </w:r>
      <w:r w:rsidRPr="00A5077F">
        <w:rPr>
          <w:rFonts w:ascii="Times New Roman" w:eastAsia="Times New Roman" w:hAnsi="Times New Roman" w:cs="Times New Roman"/>
          <w:color w:val="000000"/>
          <w:kern w:val="0"/>
          <w:lang w:eastAsia="fr-FR"/>
          <w14:ligatures w14:val="none"/>
        </w:rPr>
        <w:t> : les programmes déjà efficaces peuvent nécessiter moins de rigueur.</w:t>
      </w:r>
    </w:p>
    <w:p w14:paraId="486A7A0B" w14:textId="77777777" w:rsidR="00A5077F" w:rsidRPr="00A5077F" w:rsidRDefault="00A5077F" w:rsidP="00A5077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Secteur du programme</w:t>
      </w:r>
      <w:r w:rsidRPr="00A5077F">
        <w:rPr>
          <w:rFonts w:ascii="Times New Roman" w:eastAsia="Times New Roman" w:hAnsi="Times New Roman" w:cs="Times New Roman"/>
          <w:color w:val="000000"/>
          <w:kern w:val="0"/>
          <w:lang w:eastAsia="fr-FR"/>
          <w14:ligatures w14:val="none"/>
        </w:rPr>
        <w:t> : la santé et la nutrition exigent souvent plus de précision que d’autres secteurs.</w:t>
      </w:r>
    </w:p>
    <w:p w14:paraId="37D8DFD9" w14:textId="77777777" w:rsidR="00A5077F" w:rsidRPr="00A5077F" w:rsidRDefault="00A5077F" w:rsidP="00A5077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Moment de l’évaluation</w:t>
      </w:r>
      <w:r w:rsidRPr="00A5077F">
        <w:rPr>
          <w:rFonts w:ascii="Times New Roman" w:eastAsia="Times New Roman" w:hAnsi="Times New Roman" w:cs="Times New Roman"/>
          <w:color w:val="000000"/>
          <w:kern w:val="0"/>
          <w:lang w:eastAsia="fr-FR"/>
          <w14:ligatures w14:val="none"/>
        </w:rPr>
        <w:t> : certaines évaluations nécessitent des données de base avant le programme.</w:t>
      </w:r>
    </w:p>
    <w:p w14:paraId="1610583C" w14:textId="77777777" w:rsidR="00A5077F" w:rsidRPr="00A5077F" w:rsidRDefault="00A5077F" w:rsidP="00A5077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Taille de l’échantillon</w:t>
      </w:r>
      <w:r w:rsidRPr="00A5077F">
        <w:rPr>
          <w:rFonts w:ascii="Times New Roman" w:eastAsia="Times New Roman" w:hAnsi="Times New Roman" w:cs="Times New Roman"/>
          <w:color w:val="000000"/>
          <w:kern w:val="0"/>
          <w:lang w:eastAsia="fr-FR"/>
          <w14:ligatures w14:val="none"/>
        </w:rPr>
        <w:t> : dépend des niveaux de confiance et des marges d’erreur acceptées par le décideur.</w:t>
      </w:r>
    </w:p>
    <w:p w14:paraId="0C15A574" w14:textId="77777777" w:rsidR="00A5077F" w:rsidRPr="00A5077F" w:rsidRDefault="00A5077F" w:rsidP="00A5077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Coûts</w:t>
      </w:r>
      <w:r w:rsidRPr="00A5077F">
        <w:rPr>
          <w:rFonts w:ascii="Times New Roman" w:eastAsia="Times New Roman" w:hAnsi="Times New Roman" w:cs="Times New Roman"/>
          <w:color w:val="000000"/>
          <w:kern w:val="0"/>
          <w:lang w:eastAsia="fr-FR"/>
          <w14:ligatures w14:val="none"/>
        </w:rPr>
        <w:t> : augmentent rapidement avec la complexité du plan, nécessitant souvent un compromis.</w:t>
      </w:r>
    </w:p>
    <w:p w14:paraId="35791AB3" w14:textId="77777777" w:rsidR="00A5077F" w:rsidRPr="00A5077F" w:rsidRDefault="00A5077F" w:rsidP="00A5077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Approche séquentielle :</w:t>
      </w:r>
      <w:r w:rsidRPr="00A5077F">
        <w:rPr>
          <w:rFonts w:ascii="Times New Roman" w:eastAsia="Times New Roman" w:hAnsi="Times New Roman" w:cs="Times New Roman"/>
          <w:color w:val="000000"/>
          <w:kern w:val="0"/>
          <w:lang w:eastAsia="fr-FR"/>
          <w14:ligatures w14:val="none"/>
        </w:rPr>
        <w:br/>
        <w:t>Une logique heuristique suggère de commencer par des évaluations simples (adéquation de la prestation et de l’utilisation), puis de progresser vers des évaluations plus complexes (plausibilité et probabilité) en fonction des résultats, du financement et des contraintes politiques.</w:t>
      </w:r>
    </w:p>
    <w:p w14:paraId="02020A6A" w14:textId="77777777" w:rsidR="00A5077F" w:rsidRPr="00A5077F" w:rsidRDefault="00A5077F" w:rsidP="00A5077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A5077F">
        <w:rPr>
          <w:rFonts w:ascii="Times New Roman" w:eastAsia="Times New Roman" w:hAnsi="Times New Roman" w:cs="Times New Roman"/>
          <w:b/>
          <w:bCs/>
          <w:color w:val="000000"/>
          <w:kern w:val="0"/>
          <w:lang w:eastAsia="fr-FR"/>
          <w14:ligatures w14:val="none"/>
        </w:rPr>
        <w:t>Conclusion :</w:t>
      </w:r>
      <w:r w:rsidRPr="00A5077F">
        <w:rPr>
          <w:rFonts w:ascii="Times New Roman" w:eastAsia="Times New Roman" w:hAnsi="Times New Roman" w:cs="Times New Roman"/>
          <w:color w:val="000000"/>
          <w:kern w:val="0"/>
          <w:lang w:eastAsia="fr-FR"/>
          <w14:ligatures w14:val="none"/>
        </w:rPr>
        <w:br/>
        <w:t xml:space="preserve">L’évaluation doit être planifiée de manière à fournir des informations exploitables aux décideurs. La rigueur méthodologique est essentielle, quel que soit le type d’inférence. </w:t>
      </w:r>
      <w:r w:rsidRPr="00A5077F">
        <w:rPr>
          <w:rFonts w:ascii="Times New Roman" w:eastAsia="Times New Roman" w:hAnsi="Times New Roman" w:cs="Times New Roman"/>
          <w:color w:val="000000"/>
          <w:kern w:val="0"/>
          <w:lang w:eastAsia="fr-FR"/>
          <w14:ligatures w14:val="none"/>
        </w:rPr>
        <w:lastRenderedPageBreak/>
        <w:t>L’adéquation, la plausibilité et la probabilité sont complémentaires et doivent être intégrées de façon flexible selon le contexte, les objectifs et les ressources disponibles.</w:t>
      </w:r>
    </w:p>
    <w:p w14:paraId="71C165EA" w14:textId="77777777" w:rsidR="000F6B61" w:rsidRDefault="000F6B61"/>
    <w:sectPr w:rsidR="000F6B61" w:rsidSect="00A507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45998"/>
    <w:multiLevelType w:val="multilevel"/>
    <w:tmpl w:val="E1DC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E4A04"/>
    <w:multiLevelType w:val="multilevel"/>
    <w:tmpl w:val="7B6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C9658B"/>
    <w:multiLevelType w:val="multilevel"/>
    <w:tmpl w:val="C56AF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775262">
    <w:abstractNumId w:val="0"/>
  </w:num>
  <w:num w:numId="2" w16cid:durableId="1765957399">
    <w:abstractNumId w:val="2"/>
  </w:num>
  <w:num w:numId="3" w16cid:durableId="1887334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61"/>
    <w:rsid w:val="000303AF"/>
    <w:rsid w:val="000F458C"/>
    <w:rsid w:val="000F57D3"/>
    <w:rsid w:val="000F6B61"/>
    <w:rsid w:val="002A3565"/>
    <w:rsid w:val="00451482"/>
    <w:rsid w:val="00806539"/>
    <w:rsid w:val="00A35099"/>
    <w:rsid w:val="00A5077F"/>
    <w:rsid w:val="00A50A91"/>
    <w:rsid w:val="00B36648"/>
    <w:rsid w:val="00E17C92"/>
    <w:rsid w:val="00F72B20"/>
    <w:rsid w:val="00F91B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8A1B"/>
  <w15:chartTrackingRefBased/>
  <w15:docId w15:val="{D7D94539-C828-6248-B091-A4B5B197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F6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F6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F6B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F6B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F6B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F6B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F6B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F6B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F6B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6B6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F6B6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F6B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F6B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F6B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F6B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F6B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F6B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F6B61"/>
    <w:rPr>
      <w:rFonts w:eastAsiaTheme="majorEastAsia" w:cstheme="majorBidi"/>
      <w:color w:val="272727" w:themeColor="text1" w:themeTint="D8"/>
    </w:rPr>
  </w:style>
  <w:style w:type="paragraph" w:styleId="Titre">
    <w:name w:val="Title"/>
    <w:basedOn w:val="Normal"/>
    <w:next w:val="Normal"/>
    <w:link w:val="TitreCar"/>
    <w:uiPriority w:val="10"/>
    <w:qFormat/>
    <w:rsid w:val="000F6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F6B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F6B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F6B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F6B61"/>
    <w:pPr>
      <w:spacing w:before="160"/>
      <w:jc w:val="center"/>
    </w:pPr>
    <w:rPr>
      <w:i/>
      <w:iCs/>
      <w:color w:val="404040" w:themeColor="text1" w:themeTint="BF"/>
    </w:rPr>
  </w:style>
  <w:style w:type="character" w:customStyle="1" w:styleId="CitationCar">
    <w:name w:val="Citation Car"/>
    <w:basedOn w:val="Policepardfaut"/>
    <w:link w:val="Citation"/>
    <w:uiPriority w:val="29"/>
    <w:rsid w:val="000F6B61"/>
    <w:rPr>
      <w:i/>
      <w:iCs/>
      <w:color w:val="404040" w:themeColor="text1" w:themeTint="BF"/>
    </w:rPr>
  </w:style>
  <w:style w:type="paragraph" w:styleId="Paragraphedeliste">
    <w:name w:val="List Paragraph"/>
    <w:basedOn w:val="Normal"/>
    <w:uiPriority w:val="34"/>
    <w:qFormat/>
    <w:rsid w:val="000F6B61"/>
    <w:pPr>
      <w:ind w:left="720"/>
      <w:contextualSpacing/>
    </w:pPr>
  </w:style>
  <w:style w:type="character" w:styleId="Accentuationintense">
    <w:name w:val="Intense Emphasis"/>
    <w:basedOn w:val="Policepardfaut"/>
    <w:uiPriority w:val="21"/>
    <w:qFormat/>
    <w:rsid w:val="000F6B61"/>
    <w:rPr>
      <w:i/>
      <w:iCs/>
      <w:color w:val="0F4761" w:themeColor="accent1" w:themeShade="BF"/>
    </w:rPr>
  </w:style>
  <w:style w:type="paragraph" w:styleId="Citationintense">
    <w:name w:val="Intense Quote"/>
    <w:basedOn w:val="Normal"/>
    <w:next w:val="Normal"/>
    <w:link w:val="CitationintenseCar"/>
    <w:uiPriority w:val="30"/>
    <w:qFormat/>
    <w:rsid w:val="000F6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F6B61"/>
    <w:rPr>
      <w:i/>
      <w:iCs/>
      <w:color w:val="0F4761" w:themeColor="accent1" w:themeShade="BF"/>
    </w:rPr>
  </w:style>
  <w:style w:type="character" w:styleId="Rfrenceintense">
    <w:name w:val="Intense Reference"/>
    <w:basedOn w:val="Policepardfaut"/>
    <w:uiPriority w:val="32"/>
    <w:qFormat/>
    <w:rsid w:val="000F6B61"/>
    <w:rPr>
      <w:b/>
      <w:bCs/>
      <w:smallCaps/>
      <w:color w:val="0F4761" w:themeColor="accent1" w:themeShade="BF"/>
      <w:spacing w:val="5"/>
    </w:rPr>
  </w:style>
  <w:style w:type="paragraph" w:styleId="NormalWeb">
    <w:name w:val="Normal (Web)"/>
    <w:basedOn w:val="Normal"/>
    <w:uiPriority w:val="99"/>
    <w:semiHidden/>
    <w:unhideWhenUsed/>
    <w:rsid w:val="000F6B6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0F458C"/>
    <w:rPr>
      <w:b/>
      <w:bCs/>
    </w:rPr>
  </w:style>
  <w:style w:type="character" w:customStyle="1" w:styleId="apple-converted-space">
    <w:name w:val="apple-converted-space"/>
    <w:basedOn w:val="Policepardfaut"/>
    <w:rsid w:val="000F4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48940-455F-ED45-8F6E-FF4FE400E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16</Pages>
  <Words>6619</Words>
  <Characters>39122</Characters>
  <Application>Microsoft Office Word</Application>
  <DocSecurity>0</DocSecurity>
  <Lines>566</Lines>
  <Paragraphs>119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 Moussa TENGUIANO</dc:creator>
  <cp:keywords/>
  <dc:description/>
  <cp:lastModifiedBy>Saa Moussa TENGUIANO</cp:lastModifiedBy>
  <cp:revision>2</cp:revision>
  <dcterms:created xsi:type="dcterms:W3CDTF">2026-02-11T02:55:00Z</dcterms:created>
  <dcterms:modified xsi:type="dcterms:W3CDTF">2026-02-18T02:02:00Z</dcterms:modified>
</cp:coreProperties>
</file>