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43996" w14:textId="34321BED" w:rsidR="00662BA3" w:rsidRPr="00662BA3" w:rsidRDefault="00662BA3" w:rsidP="00662BA3">
      <w:pPr>
        <w:spacing w:line="360" w:lineRule="auto"/>
        <w:rPr>
          <w:rFonts w:ascii="Cambria Math" w:hAnsi="Cambria Math" w:cs="Calibri"/>
          <w:b/>
          <w:bCs/>
          <w:color w:val="000000"/>
        </w:rPr>
      </w:pPr>
      <w:proofErr w:type="spellStart"/>
      <w:r w:rsidRPr="00662BA3">
        <w:rPr>
          <w:rFonts w:ascii="Cambria Math" w:hAnsi="Cambria Math" w:cs="Calibri"/>
          <w:b/>
          <w:bCs/>
          <w:color w:val="000000"/>
        </w:rPr>
        <w:t>Clesrovimab</w:t>
      </w:r>
      <w:proofErr w:type="spellEnd"/>
      <w:r w:rsidRPr="00662BA3">
        <w:rPr>
          <w:rFonts w:ascii="Cambria Math" w:hAnsi="Cambria Math" w:cs="Calibri"/>
          <w:b/>
          <w:bCs/>
          <w:color w:val="000000"/>
        </w:rPr>
        <w:t xml:space="preserve"> pour la prévention de la maladie à VRS chez les nourrissons en bonne santé</w:t>
      </w:r>
    </w:p>
    <w:p w14:paraId="35660234" w14:textId="77777777" w:rsidR="00662BA3" w:rsidRPr="00662BA3" w:rsidRDefault="00662BA3" w:rsidP="00662BA3">
      <w:pPr>
        <w:pStyle w:val="NormalWeb"/>
        <w:spacing w:line="360" w:lineRule="auto"/>
        <w:rPr>
          <w:rFonts w:ascii="Cambria Math" w:hAnsi="Cambria Math" w:cs="Calibri"/>
          <w:color w:val="000000"/>
        </w:rPr>
      </w:pPr>
      <w:r w:rsidRPr="00662BA3">
        <w:rPr>
          <w:rStyle w:val="lev"/>
          <w:rFonts w:ascii="Cambria Math" w:eastAsiaTheme="majorEastAsia" w:hAnsi="Cambria Math" w:cs="Calibri"/>
          <w:color w:val="000000"/>
        </w:rPr>
        <w:t>CONTEXTE</w:t>
      </w:r>
      <w:r w:rsidRPr="00662BA3">
        <w:rPr>
          <w:rFonts w:ascii="Cambria Math" w:hAnsi="Cambria Math" w:cs="Calibri"/>
          <w:color w:val="000000"/>
        </w:rPr>
        <w:br/>
        <w:t xml:space="preserve">Le </w:t>
      </w:r>
      <w:proofErr w:type="spellStart"/>
      <w:r w:rsidRPr="00662BA3">
        <w:rPr>
          <w:rFonts w:ascii="Cambria Math" w:hAnsi="Cambria Math" w:cs="Calibri"/>
          <w:color w:val="000000"/>
        </w:rPr>
        <w:t>clesrovimab</w:t>
      </w:r>
      <w:proofErr w:type="spellEnd"/>
      <w:r w:rsidRPr="00662BA3">
        <w:rPr>
          <w:rFonts w:ascii="Cambria Math" w:hAnsi="Cambria Math" w:cs="Calibri"/>
          <w:color w:val="000000"/>
        </w:rPr>
        <w:t xml:space="preserve"> est un anticorps monoclonal expérimental à action prolongée dirigé contre le site IV de la protéine de fusion du virus respiratoire syncytial (VRS). Des données sur la sécurité et l’efficacité du </w:t>
      </w:r>
      <w:proofErr w:type="spellStart"/>
      <w:r w:rsidRPr="00662BA3">
        <w:rPr>
          <w:rFonts w:ascii="Cambria Math" w:hAnsi="Cambria Math" w:cs="Calibri"/>
          <w:color w:val="000000"/>
        </w:rPr>
        <w:t>clesrovimab</w:t>
      </w:r>
      <w:proofErr w:type="spellEnd"/>
      <w:r w:rsidRPr="00662BA3">
        <w:rPr>
          <w:rFonts w:ascii="Cambria Math" w:hAnsi="Cambria Math" w:cs="Calibri"/>
          <w:color w:val="000000"/>
        </w:rPr>
        <w:t xml:space="preserve"> chez les nourrissons en bonne santé sont nécessaires.</w:t>
      </w:r>
    </w:p>
    <w:p w14:paraId="256F5D4F" w14:textId="77777777" w:rsidR="00662BA3" w:rsidRPr="00662BA3" w:rsidRDefault="00662BA3" w:rsidP="00662BA3">
      <w:pPr>
        <w:pStyle w:val="NormalWeb"/>
        <w:spacing w:line="360" w:lineRule="auto"/>
        <w:rPr>
          <w:rFonts w:ascii="Cambria Math" w:hAnsi="Cambria Math" w:cs="Calibri"/>
          <w:color w:val="000000"/>
        </w:rPr>
      </w:pPr>
      <w:r w:rsidRPr="00662BA3">
        <w:rPr>
          <w:rStyle w:val="lev"/>
          <w:rFonts w:ascii="Cambria Math" w:eastAsiaTheme="majorEastAsia" w:hAnsi="Cambria Math" w:cs="Calibri"/>
          <w:color w:val="000000"/>
        </w:rPr>
        <w:t>MÉTHODES</w:t>
      </w:r>
      <w:r w:rsidRPr="00662BA3">
        <w:rPr>
          <w:rFonts w:ascii="Cambria Math" w:hAnsi="Cambria Math" w:cs="Calibri"/>
          <w:color w:val="000000"/>
        </w:rPr>
        <w:br/>
        <w:t xml:space="preserve">Nous avons réparti aléatoirement des nourrissons prématurés et à terme en bonne santé, entrant dans leur première saison du VRS, selon un ratio de 2:1, pour recevoir une dose unique intramusculaire de 105 mg de </w:t>
      </w:r>
      <w:proofErr w:type="spellStart"/>
      <w:r w:rsidRPr="00662BA3">
        <w:rPr>
          <w:rFonts w:ascii="Cambria Math" w:hAnsi="Cambria Math" w:cs="Calibri"/>
          <w:color w:val="000000"/>
        </w:rPr>
        <w:t>clesrovimab</w:t>
      </w:r>
      <w:proofErr w:type="spellEnd"/>
      <w:r w:rsidRPr="00662BA3">
        <w:rPr>
          <w:rFonts w:ascii="Cambria Math" w:hAnsi="Cambria Math" w:cs="Calibri"/>
          <w:color w:val="000000"/>
        </w:rPr>
        <w:t xml:space="preserve"> ou un placebo.</w:t>
      </w:r>
      <w:r w:rsidRPr="00662BA3">
        <w:rPr>
          <w:rFonts w:ascii="Cambria Math" w:hAnsi="Cambria Math" w:cs="Calibri"/>
          <w:color w:val="000000"/>
        </w:rPr>
        <w:br/>
        <w:t>Le critère principal d’efficacité était l’infection respiratoire basse associée au VRS nécessitant une prise en charge médicale (incluant au moins un indicateur d’infection respiratoire basse ou de gravité de la maladie) dans les 150 jours suivant l’injection.</w:t>
      </w:r>
      <w:r w:rsidRPr="00662BA3">
        <w:rPr>
          <w:rFonts w:ascii="Cambria Math" w:hAnsi="Cambria Math" w:cs="Calibri"/>
          <w:color w:val="000000"/>
        </w:rPr>
        <w:br/>
        <w:t>Un critère secondaire clé d’efficacité était l’hospitalisation associée au VRS au cours de la même période.</w:t>
      </w:r>
    </w:p>
    <w:p w14:paraId="3C5B6010" w14:textId="77777777" w:rsidR="00662BA3" w:rsidRDefault="00662BA3" w:rsidP="00662BA3">
      <w:pPr>
        <w:pStyle w:val="NormalWeb"/>
        <w:spacing w:line="360" w:lineRule="auto"/>
        <w:rPr>
          <w:rFonts w:ascii="Cambria Math" w:hAnsi="Cambria Math" w:cs="Calibri"/>
          <w:color w:val="000000"/>
        </w:rPr>
      </w:pPr>
      <w:r w:rsidRPr="00662BA3">
        <w:rPr>
          <w:rStyle w:val="lev"/>
          <w:rFonts w:ascii="Cambria Math" w:eastAsiaTheme="majorEastAsia" w:hAnsi="Cambria Math" w:cs="Calibri"/>
          <w:color w:val="000000"/>
        </w:rPr>
        <w:t>RÉSULTATS</w:t>
      </w:r>
      <w:r w:rsidRPr="00662BA3">
        <w:rPr>
          <w:rFonts w:ascii="Cambria Math" w:hAnsi="Cambria Math" w:cs="Calibri"/>
          <w:color w:val="000000"/>
        </w:rPr>
        <w:br/>
        <w:t xml:space="preserve">Au total, 3614 nourrissons ont reçu une injection : 2412 ont reçu le </w:t>
      </w:r>
      <w:proofErr w:type="spellStart"/>
      <w:r w:rsidRPr="00662BA3">
        <w:rPr>
          <w:rFonts w:ascii="Cambria Math" w:hAnsi="Cambria Math" w:cs="Calibri"/>
          <w:color w:val="000000"/>
        </w:rPr>
        <w:t>clesrovimab</w:t>
      </w:r>
      <w:proofErr w:type="spellEnd"/>
      <w:r w:rsidRPr="00662BA3">
        <w:rPr>
          <w:rFonts w:ascii="Cambria Math" w:hAnsi="Cambria Math" w:cs="Calibri"/>
          <w:color w:val="000000"/>
        </w:rPr>
        <w:t xml:space="preserve"> et 1202 ont reçu le placebo.</w:t>
      </w:r>
      <w:r w:rsidRPr="00662BA3">
        <w:rPr>
          <w:rFonts w:ascii="Cambria Math" w:hAnsi="Cambria Math" w:cs="Calibri"/>
          <w:color w:val="000000"/>
        </w:rPr>
        <w:br/>
        <w:t xml:space="preserve">Jusqu’au 150ᵉ jour après l’injection, une infection respiratoire basse associée au VRS nécessitant une prise en charge médicale est survenue chez 60 des 2398 nourrissons du groupe </w:t>
      </w:r>
      <w:proofErr w:type="spellStart"/>
      <w:r w:rsidRPr="00662BA3">
        <w:rPr>
          <w:rFonts w:ascii="Cambria Math" w:hAnsi="Cambria Math" w:cs="Calibri"/>
          <w:color w:val="000000"/>
        </w:rPr>
        <w:t>clesrovimab</w:t>
      </w:r>
      <w:proofErr w:type="spellEnd"/>
      <w:r w:rsidRPr="00662BA3">
        <w:rPr>
          <w:rFonts w:ascii="Cambria Math" w:hAnsi="Cambria Math" w:cs="Calibri"/>
          <w:color w:val="000000"/>
        </w:rPr>
        <w:t xml:space="preserve"> (taux d’incidence sur 5 mois : 2,6 %) et chez 74 des 1201 nourrissons du groupe placebo (taux d’incidence sur 5 mois : 6,5 %), ce qui correspond à une efficacité de</w:t>
      </w:r>
      <w:r w:rsidRPr="00662BA3">
        <w:rPr>
          <w:rStyle w:val="apple-converted-space"/>
          <w:rFonts w:ascii="Cambria Math" w:eastAsiaTheme="majorEastAsia" w:hAnsi="Cambria Math" w:cs="Calibri"/>
          <w:color w:val="000000"/>
        </w:rPr>
        <w:t> </w:t>
      </w:r>
      <w:r w:rsidRPr="00662BA3">
        <w:rPr>
          <w:rStyle w:val="lev"/>
          <w:rFonts w:ascii="Cambria Math" w:eastAsiaTheme="majorEastAsia" w:hAnsi="Cambria Math" w:cs="Calibri"/>
          <w:color w:val="000000"/>
        </w:rPr>
        <w:t>60,4 %</w:t>
      </w:r>
      <w:r w:rsidRPr="00662BA3">
        <w:rPr>
          <w:rStyle w:val="apple-converted-space"/>
          <w:rFonts w:ascii="Cambria Math" w:eastAsiaTheme="majorEastAsia" w:hAnsi="Cambria Math" w:cs="Calibri"/>
          <w:color w:val="000000"/>
        </w:rPr>
        <w:t> </w:t>
      </w:r>
      <w:r w:rsidRPr="00662BA3">
        <w:rPr>
          <w:rFonts w:ascii="Cambria Math" w:hAnsi="Cambria Math" w:cs="Calibri"/>
          <w:color w:val="000000"/>
        </w:rPr>
        <w:t>(intervalle de confiance [IC] à 95 % : 44,1 à 71,9 ;</w:t>
      </w:r>
      <w:r w:rsidRPr="00662BA3">
        <w:rPr>
          <w:rStyle w:val="apple-converted-space"/>
          <w:rFonts w:ascii="Cambria Math" w:eastAsiaTheme="majorEastAsia" w:hAnsi="Cambria Math" w:cs="Calibri"/>
          <w:color w:val="000000"/>
        </w:rPr>
        <w:t> </w:t>
      </w:r>
      <w:r w:rsidRPr="00662BA3">
        <w:rPr>
          <w:rStyle w:val="Accentuation"/>
          <w:rFonts w:ascii="Cambria Math" w:eastAsiaTheme="majorEastAsia" w:hAnsi="Cambria Math" w:cs="Calibri"/>
          <w:color w:val="000000"/>
        </w:rPr>
        <w:t>p</w:t>
      </w:r>
      <w:r w:rsidRPr="00662BA3">
        <w:rPr>
          <w:rFonts w:ascii="Cambria Math" w:hAnsi="Cambria Math" w:cs="Calibri"/>
          <w:color w:val="000000"/>
        </w:rPr>
        <w:t>&lt;0,001).</w:t>
      </w:r>
      <w:r w:rsidRPr="00662BA3">
        <w:rPr>
          <w:rFonts w:ascii="Cambria Math" w:hAnsi="Cambria Math" w:cs="Calibri"/>
          <w:color w:val="000000"/>
        </w:rPr>
        <w:br/>
        <w:t xml:space="preserve">Une hospitalisation associée au VRS dans les 150 jours a été rapportée chez 9 des 2398 nourrissons du groupe </w:t>
      </w:r>
      <w:proofErr w:type="spellStart"/>
      <w:r w:rsidRPr="00662BA3">
        <w:rPr>
          <w:rFonts w:ascii="Cambria Math" w:hAnsi="Cambria Math" w:cs="Calibri"/>
          <w:color w:val="000000"/>
        </w:rPr>
        <w:t>clesrovimab</w:t>
      </w:r>
      <w:proofErr w:type="spellEnd"/>
      <w:r w:rsidRPr="00662BA3">
        <w:rPr>
          <w:rFonts w:ascii="Cambria Math" w:hAnsi="Cambria Math" w:cs="Calibri"/>
          <w:color w:val="000000"/>
        </w:rPr>
        <w:t xml:space="preserve"> et chez 28 des 1201 nourrissons du groupe placebo, correspondant à une efficacité de</w:t>
      </w:r>
      <w:r w:rsidRPr="00662BA3">
        <w:rPr>
          <w:rStyle w:val="apple-converted-space"/>
          <w:rFonts w:ascii="Cambria Math" w:eastAsiaTheme="majorEastAsia" w:hAnsi="Cambria Math" w:cs="Calibri"/>
          <w:color w:val="000000"/>
        </w:rPr>
        <w:t> </w:t>
      </w:r>
      <w:r w:rsidRPr="00662BA3">
        <w:rPr>
          <w:rStyle w:val="lev"/>
          <w:rFonts w:ascii="Cambria Math" w:eastAsiaTheme="majorEastAsia" w:hAnsi="Cambria Math" w:cs="Calibri"/>
          <w:color w:val="000000"/>
        </w:rPr>
        <w:t>84,2 %</w:t>
      </w:r>
      <w:r w:rsidRPr="00662BA3">
        <w:rPr>
          <w:rStyle w:val="apple-converted-space"/>
          <w:rFonts w:ascii="Cambria Math" w:eastAsiaTheme="majorEastAsia" w:hAnsi="Cambria Math" w:cs="Calibri"/>
          <w:color w:val="000000"/>
        </w:rPr>
        <w:t> </w:t>
      </w:r>
      <w:r w:rsidRPr="00662BA3">
        <w:rPr>
          <w:rFonts w:ascii="Cambria Math" w:hAnsi="Cambria Math" w:cs="Calibri"/>
          <w:color w:val="000000"/>
        </w:rPr>
        <w:t>(IC à 95 % : 66,6 à 92,6 ;</w:t>
      </w:r>
      <w:r w:rsidRPr="00662BA3">
        <w:rPr>
          <w:rStyle w:val="apple-converted-space"/>
          <w:rFonts w:ascii="Cambria Math" w:eastAsiaTheme="majorEastAsia" w:hAnsi="Cambria Math" w:cs="Calibri"/>
          <w:color w:val="000000"/>
        </w:rPr>
        <w:t> </w:t>
      </w:r>
      <w:r w:rsidRPr="00662BA3">
        <w:rPr>
          <w:rStyle w:val="Accentuation"/>
          <w:rFonts w:ascii="Cambria Math" w:eastAsiaTheme="majorEastAsia" w:hAnsi="Cambria Math" w:cs="Calibri"/>
          <w:color w:val="000000"/>
        </w:rPr>
        <w:t>p</w:t>
      </w:r>
      <w:r w:rsidRPr="00662BA3">
        <w:rPr>
          <w:rFonts w:ascii="Cambria Math" w:hAnsi="Cambria Math" w:cs="Calibri"/>
          <w:color w:val="000000"/>
        </w:rPr>
        <w:t>&lt;0,001).</w:t>
      </w:r>
      <w:r w:rsidRPr="00662BA3">
        <w:rPr>
          <w:rFonts w:ascii="Cambria Math" w:hAnsi="Cambria Math" w:cs="Calibri"/>
          <w:color w:val="000000"/>
        </w:rPr>
        <w:br/>
        <w:t xml:space="preserve">Des événements indésirables graves ont été signalés chez 278 des 2409 nourrissons (11,5 %) dans le groupe </w:t>
      </w:r>
      <w:proofErr w:type="spellStart"/>
      <w:r w:rsidRPr="00662BA3">
        <w:rPr>
          <w:rFonts w:ascii="Cambria Math" w:hAnsi="Cambria Math" w:cs="Calibri"/>
          <w:color w:val="000000"/>
        </w:rPr>
        <w:t>clesrovimab</w:t>
      </w:r>
      <w:proofErr w:type="spellEnd"/>
      <w:r w:rsidRPr="00662BA3">
        <w:rPr>
          <w:rFonts w:ascii="Cambria Math" w:hAnsi="Cambria Math" w:cs="Calibri"/>
          <w:color w:val="000000"/>
        </w:rPr>
        <w:t xml:space="preserve"> et chez 149 des 1202 nourrissons (12,4 %) dans le groupe placebo.</w:t>
      </w:r>
    </w:p>
    <w:p w14:paraId="7A2D30FE" w14:textId="37ACE3DF" w:rsidR="0034525B" w:rsidRDefault="0034525B" w:rsidP="00662BA3">
      <w:pPr>
        <w:pStyle w:val="NormalWeb"/>
        <w:spacing w:line="360" w:lineRule="auto"/>
        <w:rPr>
          <w:rFonts w:ascii="Cambria Math" w:hAnsi="Cambria Math" w:cs="Calibri"/>
          <w:color w:val="000000"/>
        </w:rPr>
      </w:pPr>
      <w:r w:rsidRPr="00662BA3">
        <w:rPr>
          <w:rStyle w:val="lev"/>
          <w:rFonts w:ascii="Cambria Math" w:eastAsiaTheme="majorEastAsia" w:hAnsi="Cambria Math" w:cs="Calibri"/>
          <w:color w:val="000000"/>
        </w:rPr>
        <w:lastRenderedPageBreak/>
        <w:t>CONCLUSIONS</w:t>
      </w:r>
      <w:r w:rsidRPr="00662BA3">
        <w:rPr>
          <w:rFonts w:ascii="Cambria Math" w:hAnsi="Cambria Math" w:cs="Calibri"/>
          <w:color w:val="000000"/>
        </w:rPr>
        <w:br/>
        <w:t xml:space="preserve">Chez les nourrissons prématurés et à terme en bonne santé, une dose unique de </w:t>
      </w:r>
      <w:proofErr w:type="spellStart"/>
      <w:r w:rsidRPr="00662BA3">
        <w:rPr>
          <w:rFonts w:ascii="Cambria Math" w:hAnsi="Cambria Math" w:cs="Calibri"/>
          <w:color w:val="000000"/>
        </w:rPr>
        <w:t>clesrovimab</w:t>
      </w:r>
      <w:proofErr w:type="spellEnd"/>
      <w:r w:rsidRPr="00662BA3">
        <w:rPr>
          <w:rFonts w:ascii="Cambria Math" w:hAnsi="Cambria Math" w:cs="Calibri"/>
          <w:color w:val="000000"/>
        </w:rPr>
        <w:t xml:space="preserve"> a réduit l’incidence des infections respiratoires basses associées au VRS nécessitant une prise en charge médicale ainsi que celle des hospitalisations liées au VRS, avec un profil de sécurité comparable à celui du placebo.</w:t>
      </w:r>
      <w:r w:rsidRPr="00662BA3">
        <w:rPr>
          <w:rFonts w:ascii="Cambria Math" w:hAnsi="Cambria Math" w:cs="Calibri"/>
          <w:color w:val="000000"/>
        </w:rPr>
        <w:br/>
        <w:t>(</w:t>
      </w:r>
      <w:r w:rsidRPr="00662BA3">
        <w:rPr>
          <w:rStyle w:val="Accentuation"/>
          <w:rFonts w:ascii="Cambria Math" w:eastAsiaTheme="majorEastAsia" w:hAnsi="Cambria Math" w:cs="Calibri"/>
          <w:color w:val="000000"/>
        </w:rPr>
        <w:t xml:space="preserve">Financement : Merck Sharp &amp; </w:t>
      </w:r>
      <w:proofErr w:type="spellStart"/>
      <w:r w:rsidRPr="00662BA3">
        <w:rPr>
          <w:rStyle w:val="Accentuation"/>
          <w:rFonts w:ascii="Cambria Math" w:eastAsiaTheme="majorEastAsia" w:hAnsi="Cambria Math" w:cs="Calibri"/>
          <w:color w:val="000000"/>
        </w:rPr>
        <w:t>Dohme</w:t>
      </w:r>
      <w:proofErr w:type="spellEnd"/>
      <w:r w:rsidRPr="00662BA3">
        <w:rPr>
          <w:rStyle w:val="Accentuation"/>
          <w:rFonts w:ascii="Cambria Math" w:eastAsiaTheme="majorEastAsia" w:hAnsi="Cambria Math" w:cs="Calibri"/>
          <w:color w:val="000000"/>
        </w:rPr>
        <w:t xml:space="preserve"> ; numéro de l’essai clinique CLEVER : NCT04767373.</w:t>
      </w:r>
      <w:r w:rsidRPr="00662BA3">
        <w:rPr>
          <w:rFonts w:ascii="Cambria Math" w:hAnsi="Cambria Math" w:cs="Calibri"/>
          <w:color w:val="000000"/>
        </w:rPr>
        <w:t>)</w:t>
      </w:r>
    </w:p>
    <w:p w14:paraId="6689C387" w14:textId="6217AA33" w:rsidR="000B547D" w:rsidRDefault="000B547D" w:rsidP="00662BA3">
      <w:pPr>
        <w:pStyle w:val="NormalWeb"/>
        <w:spacing w:line="360" w:lineRule="auto"/>
        <w:rPr>
          <w:rFonts w:ascii="Cambria Math" w:hAnsi="Cambria Math" w:cs="Calibri"/>
          <w:color w:val="000000"/>
        </w:rPr>
      </w:pPr>
      <w:r>
        <w:rPr>
          <w:rFonts w:ascii="Cambria Math" w:hAnsi="Cambria Math" w:cs="Calibri"/>
          <w:color w:val="000000"/>
        </w:rPr>
        <w:t>Introduction :</w:t>
      </w:r>
    </w:p>
    <w:p w14:paraId="697FDEC3" w14:textId="77777777" w:rsidR="000B547D" w:rsidRDefault="000B547D" w:rsidP="000B547D">
      <w:pPr>
        <w:pStyle w:val="NormalWeb"/>
        <w:rPr>
          <w:color w:val="000000"/>
        </w:rPr>
      </w:pPr>
      <w:r>
        <w:rPr>
          <w:color w:val="000000"/>
        </w:rPr>
        <w:t xml:space="preserve">Parmi les nourrissons de moins d’un an, le virus respiratoire syncytial (VRS) est responsable d’environ 12,9 millions d’infections respiratoires basses et d’environ 2,2 millions d’hospitalisations par an dans le monde. Le VRS est une cause majeure d’hospitalisation infantile dans les pays à revenu élevé et constitue une cause fréquente de décès chez les nourrissons dans les pays à revenu faible et intermédiaire. Les nourrissons prématurés et ceux présentant des pathologies sous-jacentes sont plus susceptibles de développer une infection sévère à VRS, mais la majorité des hospitalisations dues au VRS surviennent chez des nourrissons à terme en bonne santé. Le fardeau des infections sévères à VRS est le plus élevé au cours des six premiers mois après la naissance, période où la prévention est nécessaire. Récemment, deux thérapies préventives contre le VRS — l’anticorps monoclonal </w:t>
      </w:r>
      <w:proofErr w:type="spellStart"/>
      <w:r>
        <w:rPr>
          <w:color w:val="000000"/>
        </w:rPr>
        <w:t>nirsevimab</w:t>
      </w:r>
      <w:proofErr w:type="spellEnd"/>
      <w:r>
        <w:rPr>
          <w:color w:val="000000"/>
        </w:rPr>
        <w:t xml:space="preserve"> (</w:t>
      </w:r>
      <w:proofErr w:type="spellStart"/>
      <w:r>
        <w:rPr>
          <w:color w:val="000000"/>
        </w:rPr>
        <w:t>Beyfortus</w:t>
      </w:r>
      <w:proofErr w:type="spellEnd"/>
      <w:r>
        <w:rPr>
          <w:color w:val="000000"/>
        </w:rPr>
        <w:t xml:space="preserve">, Sanofi) et le vaccin maternel bivalent </w:t>
      </w:r>
      <w:proofErr w:type="spellStart"/>
      <w:r>
        <w:rPr>
          <w:color w:val="000000"/>
        </w:rPr>
        <w:t>préfusion</w:t>
      </w:r>
      <w:proofErr w:type="spellEnd"/>
      <w:r>
        <w:rPr>
          <w:color w:val="000000"/>
        </w:rPr>
        <w:t xml:space="preserve"> F (ABRYSVO, Pfizer) — ont été autorisées pour une utilisation chez les nourrissons.</w:t>
      </w:r>
    </w:p>
    <w:p w14:paraId="6991BB60" w14:textId="77777777" w:rsidR="000B547D" w:rsidRDefault="000B547D" w:rsidP="000B547D">
      <w:pPr>
        <w:pStyle w:val="NormalWeb"/>
        <w:rPr>
          <w:color w:val="000000"/>
        </w:rPr>
      </w:pPr>
      <w:r>
        <w:rPr>
          <w:color w:val="000000"/>
        </w:rPr>
        <w:t xml:space="preserve">Le </w:t>
      </w:r>
      <w:proofErr w:type="spellStart"/>
      <w:r>
        <w:rPr>
          <w:color w:val="000000"/>
        </w:rPr>
        <w:t>clesrovimab</w:t>
      </w:r>
      <w:proofErr w:type="spellEnd"/>
      <w:r>
        <w:rPr>
          <w:color w:val="000000"/>
        </w:rPr>
        <w:t xml:space="preserve"> est un anticorps monoclonal humain dirigé contre le VRS, présentant trois substitutions d’acides aminés (M252Y, S254T et T256E, appelées collectivement YTE) dans la portion </w:t>
      </w:r>
      <w:proofErr w:type="spellStart"/>
      <w:r>
        <w:rPr>
          <w:color w:val="000000"/>
        </w:rPr>
        <w:t>Fc</w:t>
      </w:r>
      <w:proofErr w:type="spellEnd"/>
      <w:r>
        <w:rPr>
          <w:color w:val="000000"/>
        </w:rPr>
        <w:t xml:space="preserve">. Le </w:t>
      </w:r>
      <w:proofErr w:type="spellStart"/>
      <w:r>
        <w:rPr>
          <w:color w:val="000000"/>
        </w:rPr>
        <w:t>clesrovimab</w:t>
      </w:r>
      <w:proofErr w:type="spellEnd"/>
      <w:r>
        <w:rPr>
          <w:color w:val="000000"/>
        </w:rPr>
        <w:t xml:space="preserve"> se lie au site IV de la protéine de fusion (F) du VRS, ce qui le différencie des anticorps </w:t>
      </w:r>
      <w:proofErr w:type="spellStart"/>
      <w:r>
        <w:rPr>
          <w:color w:val="000000"/>
        </w:rPr>
        <w:t>palivizumab</w:t>
      </w:r>
      <w:proofErr w:type="spellEnd"/>
      <w:r>
        <w:rPr>
          <w:color w:val="000000"/>
        </w:rPr>
        <w:t xml:space="preserve"> (site II) et </w:t>
      </w:r>
      <w:proofErr w:type="spellStart"/>
      <w:r>
        <w:rPr>
          <w:color w:val="000000"/>
        </w:rPr>
        <w:t>nirsevimab</w:t>
      </w:r>
      <w:proofErr w:type="spellEnd"/>
      <w:r>
        <w:rPr>
          <w:color w:val="000000"/>
        </w:rPr>
        <w:t xml:space="preserve"> (site Ø). Le site IV est présent sur les conformations pré- et </w:t>
      </w:r>
      <w:proofErr w:type="spellStart"/>
      <w:r>
        <w:rPr>
          <w:color w:val="000000"/>
        </w:rPr>
        <w:t>postfusion</w:t>
      </w:r>
      <w:proofErr w:type="spellEnd"/>
      <w:r>
        <w:rPr>
          <w:color w:val="000000"/>
        </w:rPr>
        <w:t xml:space="preserve"> de la protéine F, tandis que le site Ø n’est présent que sur la conformation </w:t>
      </w:r>
      <w:proofErr w:type="spellStart"/>
      <w:r>
        <w:rPr>
          <w:color w:val="000000"/>
        </w:rPr>
        <w:t>préfusion</w:t>
      </w:r>
      <w:proofErr w:type="spellEnd"/>
      <w:r>
        <w:rPr>
          <w:color w:val="000000"/>
        </w:rPr>
        <w:t xml:space="preserve">. La disponibilité d’anticorps contre le VRS ciblant différents sites de liaison pourrait réduire le risque de résistance virale. Des études de surveillance ont montré que le site IV est très conservé, ce qui en fait une cible prophylactique intéressante, car cette conservation limite le potentiel d’échappement viral. Une analyse de plus de 15 000 séquences des souches A et B du VRS dans </w:t>
      </w:r>
      <w:proofErr w:type="spellStart"/>
      <w:r>
        <w:rPr>
          <w:color w:val="000000"/>
        </w:rPr>
        <w:t>GenBank</w:t>
      </w:r>
      <w:proofErr w:type="spellEnd"/>
      <w:r>
        <w:rPr>
          <w:color w:val="000000"/>
        </w:rPr>
        <w:t xml:space="preserve"> a montré que l’épitope de liaison du </w:t>
      </w:r>
      <w:proofErr w:type="spellStart"/>
      <w:r>
        <w:rPr>
          <w:color w:val="000000"/>
        </w:rPr>
        <w:t>clesrovimab</w:t>
      </w:r>
      <w:proofErr w:type="spellEnd"/>
      <w:r>
        <w:rPr>
          <w:color w:val="000000"/>
        </w:rPr>
        <w:t xml:space="preserve"> était conservé à 99,8 %. Le </w:t>
      </w:r>
      <w:proofErr w:type="spellStart"/>
      <w:r>
        <w:rPr>
          <w:color w:val="000000"/>
        </w:rPr>
        <w:t>clesrovimab</w:t>
      </w:r>
      <w:proofErr w:type="spellEnd"/>
      <w:r>
        <w:rPr>
          <w:color w:val="000000"/>
        </w:rPr>
        <w:t xml:space="preserve"> présente également une forte distribution tissulaire et une concentration élevée dans le compartiment nasal.</w:t>
      </w:r>
    </w:p>
    <w:p w14:paraId="16CE383B" w14:textId="77777777" w:rsidR="000B547D" w:rsidRDefault="000B547D" w:rsidP="000B547D">
      <w:pPr>
        <w:pStyle w:val="NormalWeb"/>
        <w:rPr>
          <w:color w:val="000000"/>
        </w:rPr>
      </w:pPr>
      <w:r>
        <w:rPr>
          <w:color w:val="000000"/>
        </w:rPr>
        <w:t xml:space="preserve">Dans une étude de phase 1b–2a à doses croissantes chez des nourrissons, les chercheurs ont observé que le </w:t>
      </w:r>
      <w:proofErr w:type="spellStart"/>
      <w:r>
        <w:rPr>
          <w:color w:val="000000"/>
        </w:rPr>
        <w:t>clesrovimab</w:t>
      </w:r>
      <w:proofErr w:type="spellEnd"/>
      <w:r>
        <w:rPr>
          <w:color w:val="000000"/>
        </w:rPr>
        <w:t xml:space="preserve"> avait un profil de sécurité comparable à celui du placebo et une demi-vie d’environ 45 jours, ce qui permet une administration unique par saison de VRS. Nous avons mené l’essai de phase 2b–3 CLEVER (Efficacité et sécurité du </w:t>
      </w:r>
      <w:proofErr w:type="spellStart"/>
      <w:r>
        <w:rPr>
          <w:color w:val="000000"/>
        </w:rPr>
        <w:t>clesrovimab</w:t>
      </w:r>
      <w:proofErr w:type="spellEnd"/>
      <w:r>
        <w:rPr>
          <w:color w:val="000000"/>
        </w:rPr>
        <w:t xml:space="preserve"> chez les nourrissons [MK-1654-004]) afin d’évaluer l’efficacité et la sécurité d’une dose unique de 105 mg de </w:t>
      </w:r>
      <w:proofErr w:type="spellStart"/>
      <w:r>
        <w:rPr>
          <w:color w:val="000000"/>
        </w:rPr>
        <w:t>clesrovimab</w:t>
      </w:r>
      <w:proofErr w:type="spellEnd"/>
      <w:r>
        <w:rPr>
          <w:color w:val="000000"/>
        </w:rPr>
        <w:t xml:space="preserve"> chez des nourrissons prématurés et à terme en bonne santé entrant dans leur première saison de VRS.</w:t>
      </w:r>
    </w:p>
    <w:p w14:paraId="52CC7FFD" w14:textId="77777777" w:rsidR="000B547D" w:rsidRPr="00662BA3" w:rsidRDefault="000B547D" w:rsidP="00662BA3">
      <w:pPr>
        <w:pStyle w:val="NormalWeb"/>
        <w:spacing w:line="360" w:lineRule="auto"/>
        <w:rPr>
          <w:rFonts w:ascii="Cambria Math" w:hAnsi="Cambria Math" w:cs="Calibri"/>
          <w:color w:val="000000"/>
        </w:rPr>
      </w:pPr>
    </w:p>
    <w:p w14:paraId="64D5EE9D" w14:textId="2997C292" w:rsidR="00B876A9" w:rsidRDefault="00B876A9" w:rsidP="0034525B">
      <w:pPr>
        <w:pStyle w:val="NormalWeb"/>
        <w:rPr>
          <w:rStyle w:val="lev"/>
          <w:rFonts w:eastAsiaTheme="majorEastAsia"/>
          <w:color w:val="000000"/>
        </w:rPr>
      </w:pPr>
      <w:r>
        <w:rPr>
          <w:rStyle w:val="lev"/>
          <w:rFonts w:eastAsiaTheme="majorEastAsia"/>
          <w:color w:val="000000"/>
        </w:rPr>
        <w:lastRenderedPageBreak/>
        <w:t>Méthode</w:t>
      </w:r>
    </w:p>
    <w:p w14:paraId="32D75A34" w14:textId="5DA38298" w:rsidR="0034525B" w:rsidRDefault="0034525B" w:rsidP="0034525B">
      <w:pPr>
        <w:pStyle w:val="NormalWeb"/>
        <w:rPr>
          <w:color w:val="000000"/>
        </w:rPr>
      </w:pPr>
      <w:r>
        <w:rPr>
          <w:rStyle w:val="lev"/>
          <w:rFonts w:eastAsiaTheme="majorEastAsia"/>
          <w:color w:val="000000"/>
        </w:rPr>
        <w:t>Conception de l’essai et participants</w:t>
      </w:r>
      <w:r>
        <w:rPr>
          <w:color w:val="000000"/>
        </w:rPr>
        <w:br/>
        <w:t>Nous avons mené cet essai randomisé, en double aveugle et contrôlé par placebo dans 22 pays (Section S1 de l’Annexe complémentaire, disponible avec le texte intégral de cet article sur NEJM.org). Les participants étaient des nourrissons en bonne santé âgés de moins d’un an, nés prématurés précoces ou modérés (âge gestationnel de 29 semaines à 34 semaines et 6 jours) ou prématurés tardifs ou à terme (âge gestationnel ≥35 semaines), comme illustré dans la Figure S1 et décrit dans le protocole (disponible sur NEJM.org).</w:t>
      </w:r>
    </w:p>
    <w:p w14:paraId="0AAC4340" w14:textId="77777777" w:rsidR="0034525B" w:rsidRDefault="0034525B" w:rsidP="0034525B">
      <w:pPr>
        <w:pStyle w:val="NormalWeb"/>
        <w:rPr>
          <w:color w:val="000000"/>
        </w:rPr>
      </w:pPr>
      <w:r>
        <w:rPr>
          <w:color w:val="000000"/>
        </w:rPr>
        <w:t xml:space="preserve">Les critères principaux d’exclusion comprenaient la recommandation de recevoir le </w:t>
      </w:r>
      <w:proofErr w:type="spellStart"/>
      <w:r>
        <w:rPr>
          <w:color w:val="000000"/>
        </w:rPr>
        <w:t>palivizumab</w:t>
      </w:r>
      <w:proofErr w:type="spellEnd"/>
      <w:r>
        <w:rPr>
          <w:color w:val="000000"/>
        </w:rPr>
        <w:t xml:space="preserve">, un antécédent récent de maladie fébrile et tout traitement préventif antérieur contre le VRS. Le </w:t>
      </w:r>
      <w:proofErr w:type="spellStart"/>
      <w:r>
        <w:rPr>
          <w:color w:val="000000"/>
        </w:rPr>
        <w:t>palivizumab</w:t>
      </w:r>
      <w:proofErr w:type="spellEnd"/>
      <w:r>
        <w:rPr>
          <w:color w:val="000000"/>
        </w:rPr>
        <w:t xml:space="preserve"> est autorisé dans de nombreux pays pour les nourrissons présentant un risque accru de maladie grave à VRS, notamment ceux nés avant 35 semaines de gestation et ceux présentant des comorbidités telles qu’une maladie pulmonaire chronique de la prématurité ou une cardiopathie congénitale hémodynamiquement significative. Les nourrissons éligibles au </w:t>
      </w:r>
      <w:proofErr w:type="spellStart"/>
      <w:r>
        <w:rPr>
          <w:color w:val="000000"/>
        </w:rPr>
        <w:t>palivizumab</w:t>
      </w:r>
      <w:proofErr w:type="spellEnd"/>
      <w:r>
        <w:rPr>
          <w:color w:val="000000"/>
        </w:rPr>
        <w:t xml:space="preserve"> selon les recommandations locales ont été exclus de l’essai actuel mais ont été évalués dans l’essai de phase 3 SMART (MK-1654-007), comme décrit dans un rapport publié dans le Journal. Une liste complète des critères d’inclusion et d’exclusion figure dans la Section S2 et le protocole.</w:t>
      </w:r>
    </w:p>
    <w:p w14:paraId="0D9CB73C" w14:textId="77777777" w:rsidR="0034525B" w:rsidRDefault="0034525B" w:rsidP="0034525B">
      <w:pPr>
        <w:pStyle w:val="NormalWeb"/>
        <w:rPr>
          <w:color w:val="000000"/>
        </w:rPr>
      </w:pPr>
      <w:r>
        <w:rPr>
          <w:color w:val="000000"/>
        </w:rPr>
        <w:t xml:space="preserve">Les nourrissons ont été répartis aléatoirement selon un ratio </w:t>
      </w:r>
      <w:proofErr w:type="gramStart"/>
      <w:r>
        <w:rPr>
          <w:color w:val="000000"/>
        </w:rPr>
        <w:t>2:</w:t>
      </w:r>
      <w:proofErr w:type="gramEnd"/>
      <w:r>
        <w:rPr>
          <w:color w:val="000000"/>
        </w:rPr>
        <w:t xml:space="preserve">1 pour recevoir une injection intramusculaire unique de 105 mg de </w:t>
      </w:r>
      <w:proofErr w:type="spellStart"/>
      <w:r>
        <w:rPr>
          <w:color w:val="000000"/>
        </w:rPr>
        <w:t>clesrovimab</w:t>
      </w:r>
      <w:proofErr w:type="spellEnd"/>
      <w:r>
        <w:rPr>
          <w:color w:val="000000"/>
        </w:rPr>
        <w:t xml:space="preserve"> ou de placebo. Tous les nourrissons ont été stratifiés selon l’âge gestationnel, l’âge chronologique et l’hémisphère géographique. Une surveillance des infections respiratoires a été effectuée durant la saison 1 du VRS (jusqu’au jour 180 après injection) et la saison 2 (jours 365 à 515 pour les nourrissons suivis jusqu’au jour 515) (Section S3). Ce rapport inclut les données complètes d’efficacité de l’essai ; le suivi de sécurité est rapporté pour au moins 240 jours après injection pour tous les nourrissons.</w:t>
      </w:r>
    </w:p>
    <w:p w14:paraId="502E2920" w14:textId="77777777" w:rsidR="0034525B" w:rsidRDefault="0034525B" w:rsidP="0034525B">
      <w:pPr>
        <w:pStyle w:val="NormalWeb"/>
        <w:rPr>
          <w:color w:val="000000"/>
        </w:rPr>
      </w:pPr>
      <w:r>
        <w:rPr>
          <w:rStyle w:val="lev"/>
          <w:rFonts w:eastAsiaTheme="majorEastAsia"/>
          <w:color w:val="000000"/>
        </w:rPr>
        <w:t>Surveillance et supervision</w:t>
      </w:r>
      <w:r>
        <w:rPr>
          <w:color w:val="000000"/>
        </w:rPr>
        <w:br/>
        <w:t xml:space="preserve">L’essai a été conçu par des représentants de Merck Sharp &amp; </w:t>
      </w:r>
      <w:proofErr w:type="spellStart"/>
      <w:r>
        <w:rPr>
          <w:color w:val="000000"/>
        </w:rPr>
        <w:t>Dohme</w:t>
      </w:r>
      <w:proofErr w:type="spellEnd"/>
      <w:r>
        <w:rPr>
          <w:color w:val="000000"/>
        </w:rPr>
        <w:t>, filiale de Merck, avec l’avis d’un comité scientifique consultatif composé d’experts externes. L’essai a été approuvé par les comités d’éthique et les agences réglementaires appropriées pour chaque centre. Le consentement éclairé écrit a été fourni par le parent ou le tuteur légal de chaque nourrisson. Un comité indépendant de surveillance des données a assuré le suivi de la sécurité, incluant deux analyses intermédiaires prévues (Section S4). Les auteurs garantissent l’exhaustivité et l’exactitude des données ainsi que la conformité de l’essai au protocole.</w:t>
      </w:r>
    </w:p>
    <w:p w14:paraId="15EC9089" w14:textId="77777777" w:rsidR="0034525B" w:rsidRDefault="0034525B" w:rsidP="0034525B">
      <w:pPr>
        <w:pStyle w:val="NormalWeb"/>
        <w:rPr>
          <w:color w:val="000000"/>
        </w:rPr>
      </w:pPr>
      <w:r>
        <w:rPr>
          <w:rStyle w:val="lev"/>
          <w:rFonts w:eastAsiaTheme="majorEastAsia"/>
          <w:color w:val="000000"/>
        </w:rPr>
        <w:t>Critères d’évaluation et événements indésirables</w:t>
      </w:r>
      <w:r>
        <w:rPr>
          <w:color w:val="000000"/>
        </w:rPr>
        <w:br/>
        <w:t>Le critère principal d’efficacité était l’infection respiratoire basse associée au VRS nécessitant une prise en charge médicale (hospitalisation ou consultation) incluant au moins un indicateur d’infection respiratoire basse ou un indicateur de gravité de la maladie, du jour 1 au jour 150 après injection. La définition des cas utilisés pour ce critère nécessitait une confirmation de l’infection par VRS par PCR (RT-PCR) sur un échantillon obtenu dans les 7 jours avant ou 12 jours après le début ou l’aggravation des symptômes, avec toux ou difficultés respiratoires, et au moins un des indicateurs suivants d’infection respiratoire basse ou de gravité : sifflements respiratoires, tirage thoracique, râles ou crépitements, hypoxémie, tachypnée ou déshydratation due aux symptômes respiratoires.</w:t>
      </w:r>
    </w:p>
    <w:p w14:paraId="2F719E6E" w14:textId="77777777" w:rsidR="0034525B" w:rsidRDefault="0034525B" w:rsidP="0034525B">
      <w:pPr>
        <w:pStyle w:val="NormalWeb"/>
        <w:rPr>
          <w:color w:val="000000"/>
        </w:rPr>
      </w:pPr>
      <w:r>
        <w:rPr>
          <w:color w:val="000000"/>
        </w:rPr>
        <w:lastRenderedPageBreak/>
        <w:t xml:space="preserve">Les critères secondaires d’efficacité étaient l’hospitalisation associée au VRS du jour 1 au jour 150 après injection et l’infection respiratoire basse nécessitant une prise en charge médicale avec au moins un indicateur d’infection ou de gravité du jour 1 au jour 180 après injection. Les critères tertiaires sont détaillés dans le protocole de l’essai. Une définition post hoc d’infection respiratoire basse associée au VRS nécessitant au moins un indicateur d’infection et au moins un indicateur de gravité (soit deux indicateurs ou plus) a été évaluée, similaire à celle utilisée dans les essais cliniques de </w:t>
      </w:r>
      <w:proofErr w:type="spellStart"/>
      <w:r>
        <w:rPr>
          <w:color w:val="000000"/>
        </w:rPr>
        <w:t>nirsevimab</w:t>
      </w:r>
      <w:proofErr w:type="spellEnd"/>
      <w:r>
        <w:rPr>
          <w:color w:val="000000"/>
        </w:rPr>
        <w:t xml:space="preserve"> (Section S5). Les critères diagnostiques pour chaque critère d’évaluation associé au VRS sont décrits dans le Tableau S2.</w:t>
      </w:r>
    </w:p>
    <w:p w14:paraId="34D7A074" w14:textId="77777777" w:rsidR="0034525B" w:rsidRDefault="0034525B" w:rsidP="0034525B">
      <w:pPr>
        <w:pStyle w:val="NormalWeb"/>
        <w:rPr>
          <w:color w:val="000000"/>
        </w:rPr>
      </w:pPr>
      <w:r>
        <w:rPr>
          <w:color w:val="000000"/>
        </w:rPr>
        <w:t>La sécurité et les événements indésirables constituaient des critères primaires de l’essai. L’anaphylaxie ou l’hypersensibilité et les éruptions cutanées ont été prédéfinies comme événements indésirables d’intérêt particulier. Les détails sur le recueil des événements indésirables sont fournis dans la Section S3. La pharmacocinétique, les anticorps neutralisants sériques et les anticorps anti-médicament ont été analysés selon les méthodes précédemment décrites, selon le calendrier de prélèvements sanguins indiqué dans la Section S6.</w:t>
      </w:r>
    </w:p>
    <w:p w14:paraId="4F334859" w14:textId="77777777" w:rsidR="0034525B" w:rsidRDefault="0034525B" w:rsidP="0034525B">
      <w:pPr>
        <w:pStyle w:val="NormalWeb"/>
        <w:rPr>
          <w:color w:val="000000"/>
        </w:rPr>
      </w:pPr>
      <w:r>
        <w:rPr>
          <w:rStyle w:val="lev"/>
          <w:rFonts w:eastAsiaTheme="majorEastAsia"/>
          <w:color w:val="000000"/>
        </w:rPr>
        <w:t>Analyse statistique</w:t>
      </w:r>
      <w:r>
        <w:rPr>
          <w:color w:val="000000"/>
        </w:rPr>
        <w:br/>
        <w:t xml:space="preserve">Pour l’analyse principale d’efficacité, nous avons estimé qu’un effectif d’environ 3300 participants fournirait une puissance d’au moins 95 % pour montrer une efficacité d’au moins 25 % supérieure avec le </w:t>
      </w:r>
      <w:proofErr w:type="spellStart"/>
      <w:r>
        <w:rPr>
          <w:color w:val="000000"/>
        </w:rPr>
        <w:t>clesrovimab</w:t>
      </w:r>
      <w:proofErr w:type="spellEnd"/>
      <w:r>
        <w:rPr>
          <w:color w:val="000000"/>
        </w:rPr>
        <w:t xml:space="preserve"> par rapport au placebo pour la prévention de l’infection respiratoire basse nécessitant une prise en charge médicale jusqu’au jour 150 (critère principal). Pour le critère secondaire clé, l’essai disposait d’une puissance de plus de 93 % pour démontrer une efficacité significativement supérieure du </w:t>
      </w:r>
      <w:proofErr w:type="spellStart"/>
      <w:r>
        <w:rPr>
          <w:color w:val="000000"/>
        </w:rPr>
        <w:t>clesrovimab</w:t>
      </w:r>
      <w:proofErr w:type="spellEnd"/>
      <w:r>
        <w:rPr>
          <w:color w:val="000000"/>
        </w:rPr>
        <w:t xml:space="preserve"> par rapport au placebo pour la prévention des hospitalisations associées au VRS jusqu’au jour 150. Les analyses principales et secondaires supposaient une efficacité sous-jacente de 70 % avec une erreur de type I unilatérale de 2,5 %. L’erreur de type I globale pour les hypothèses d’efficacité était contrôlée à 2,5 %, le test du critère secondaire n’étant effectué que si le critère principal était satisfait.</w:t>
      </w:r>
    </w:p>
    <w:p w14:paraId="7D6B5FBC" w14:textId="77777777" w:rsidR="0034525B" w:rsidRDefault="0034525B" w:rsidP="0034525B">
      <w:pPr>
        <w:pStyle w:val="NormalWeb"/>
        <w:rPr>
          <w:color w:val="000000"/>
        </w:rPr>
      </w:pPr>
      <w:r>
        <w:rPr>
          <w:color w:val="000000"/>
        </w:rPr>
        <w:t xml:space="preserve">Les analyses d’efficacité ont été réalisées sur la population en intention de traiter complète, définie comme tous les participants ayant été randomisés, ayant reçu une injection de </w:t>
      </w:r>
      <w:proofErr w:type="spellStart"/>
      <w:r>
        <w:rPr>
          <w:color w:val="000000"/>
        </w:rPr>
        <w:t>clesrovimab</w:t>
      </w:r>
      <w:proofErr w:type="spellEnd"/>
      <w:r>
        <w:rPr>
          <w:color w:val="000000"/>
        </w:rPr>
        <w:t xml:space="preserve"> ou de placebo et n’ayant pas été exclus pour certaines déviations au protocole. L’efficacité estimée et les intervalles de confiance à 95 % ont été calculés à l’aide d’une régression de Poisson modifiée avec variance robuste proposée par Zou, en incluant l’âge gestationnel, l’hémisphère géographique et l’âge chronologique comme </w:t>
      </w:r>
      <w:proofErr w:type="spellStart"/>
      <w:r>
        <w:rPr>
          <w:color w:val="000000"/>
        </w:rPr>
        <w:t>covariables</w:t>
      </w:r>
      <w:proofErr w:type="spellEnd"/>
      <w:r>
        <w:rPr>
          <w:color w:val="000000"/>
        </w:rPr>
        <w:t xml:space="preserve">. Pour les critères tertiaires et les sous-groupes, le modèle incluait uniquement l’affectation au groupe de l’essai. Si le modèle ne convergeait pas ou si un intervalle de confiance ne pouvait pas être estimé avec la méthode de Poisson modifiée, une méthode binomiale exacte proposée par Chan et </w:t>
      </w:r>
      <w:proofErr w:type="spellStart"/>
      <w:r>
        <w:rPr>
          <w:color w:val="000000"/>
        </w:rPr>
        <w:t>Bohidar</w:t>
      </w:r>
      <w:proofErr w:type="spellEnd"/>
      <w:r>
        <w:rPr>
          <w:color w:val="000000"/>
        </w:rPr>
        <w:t xml:space="preserve">, avec l’intervalle de confiance de </w:t>
      </w:r>
      <w:proofErr w:type="spellStart"/>
      <w:r>
        <w:rPr>
          <w:color w:val="000000"/>
        </w:rPr>
        <w:t>Blaker</w:t>
      </w:r>
      <w:proofErr w:type="spellEnd"/>
      <w:r>
        <w:rPr>
          <w:color w:val="000000"/>
        </w:rPr>
        <w:t>, était utilisée.</w:t>
      </w:r>
    </w:p>
    <w:p w14:paraId="1B44B499" w14:textId="77777777" w:rsidR="0034525B" w:rsidRDefault="0034525B" w:rsidP="0034525B">
      <w:pPr>
        <w:pStyle w:val="NormalWeb"/>
        <w:rPr>
          <w:color w:val="000000"/>
        </w:rPr>
      </w:pPr>
      <w:r>
        <w:rPr>
          <w:color w:val="000000"/>
        </w:rPr>
        <w:t>L’efficacité a été calculée comme</w:t>
      </w:r>
      <w:r>
        <w:rPr>
          <w:rStyle w:val="apple-converted-space"/>
          <w:rFonts w:eastAsiaTheme="majorEastAsia"/>
          <w:color w:val="000000"/>
        </w:rPr>
        <w:t> </w:t>
      </w:r>
      <w:r>
        <w:rPr>
          <w:rStyle w:val="lev"/>
          <w:rFonts w:eastAsiaTheme="majorEastAsia"/>
          <w:color w:val="000000"/>
        </w:rPr>
        <w:t>1 moins le risque relatif</w:t>
      </w:r>
      <w:r>
        <w:rPr>
          <w:rStyle w:val="apple-converted-space"/>
          <w:rFonts w:eastAsiaTheme="majorEastAsia"/>
          <w:color w:val="000000"/>
        </w:rPr>
        <w:t> </w:t>
      </w:r>
      <w:r>
        <w:rPr>
          <w:color w:val="000000"/>
        </w:rPr>
        <w:t>(estimé avec le modèle de Poisson) et exprimée en pourcentage. Les taux d’incidence ont été calculés comme le nombre de cas pendant la période de suivi divisé par le temps total de suivi, multiplié par 5 pour obtenir le taux sur 5 mois et par 6 pour le taux sur 6 mois. Les hypothèses principales et secondaires d’efficacité étaient considérées comme satisfaites si la borne inférieure de l’intervalle de confiance bilatéral à 95 % était respectivement supérieure à 25 % et 0 %. Les méthodes de calcul du</w:t>
      </w:r>
      <w:r>
        <w:rPr>
          <w:rStyle w:val="apple-converted-space"/>
          <w:rFonts w:eastAsiaTheme="majorEastAsia"/>
          <w:color w:val="000000"/>
        </w:rPr>
        <w:t> </w:t>
      </w:r>
      <w:r>
        <w:rPr>
          <w:rStyle w:val="lev"/>
          <w:rFonts w:eastAsiaTheme="majorEastAsia"/>
          <w:color w:val="000000"/>
        </w:rPr>
        <w:t>nombre nécessaire à immuniser</w:t>
      </w:r>
      <w:r>
        <w:rPr>
          <w:rStyle w:val="apple-converted-space"/>
          <w:rFonts w:eastAsiaTheme="majorEastAsia"/>
          <w:color w:val="000000"/>
        </w:rPr>
        <w:t> </w:t>
      </w:r>
      <w:r>
        <w:rPr>
          <w:color w:val="000000"/>
        </w:rPr>
        <w:t>et de traitement des données manquantes sont détaillées dans les Sections S7 et S8.</w:t>
      </w:r>
    </w:p>
    <w:p w14:paraId="35D10A74" w14:textId="77777777" w:rsidR="0034525B" w:rsidRDefault="0034525B" w:rsidP="0034525B">
      <w:pPr>
        <w:pStyle w:val="NormalWeb"/>
        <w:rPr>
          <w:color w:val="000000"/>
        </w:rPr>
      </w:pPr>
      <w:r>
        <w:rPr>
          <w:color w:val="000000"/>
        </w:rPr>
        <w:lastRenderedPageBreak/>
        <w:t>Les analyses pharmacocinétiques, des anticorps anti-médicament et des anticorps neutralisants sériques ont été réalisées dans la population per-protocole, constituée des participants ayant été randomisés et ayant reçu l’injection du matériel clinique correct (</w:t>
      </w:r>
      <w:proofErr w:type="spellStart"/>
      <w:r>
        <w:rPr>
          <w:color w:val="000000"/>
        </w:rPr>
        <w:t>clesrovimab</w:t>
      </w:r>
      <w:proofErr w:type="spellEnd"/>
      <w:r>
        <w:rPr>
          <w:color w:val="000000"/>
        </w:rPr>
        <w:t xml:space="preserve"> ou placebo) correspondant au groupe assigné. Les participants présentant des déviations au protocole pouvant affecter substantiellement ces critères ont été exclus, ou leurs données après la déviation ont été exclues de la population per-protocole.</w:t>
      </w:r>
    </w:p>
    <w:p w14:paraId="2F8AD8D0" w14:textId="77777777" w:rsidR="0034525B" w:rsidRDefault="0034525B" w:rsidP="0034525B">
      <w:pPr>
        <w:pStyle w:val="NormalWeb"/>
        <w:rPr>
          <w:color w:val="000000"/>
        </w:rPr>
      </w:pPr>
      <w:r>
        <w:rPr>
          <w:color w:val="000000"/>
        </w:rPr>
        <w:t xml:space="preserve">Les analyses de sécurité ont été effectuées sur la population traitée, incluant tous les participants randomisés ayant reçu une injection de </w:t>
      </w:r>
      <w:proofErr w:type="spellStart"/>
      <w:r>
        <w:rPr>
          <w:color w:val="000000"/>
        </w:rPr>
        <w:t>clesrovimab</w:t>
      </w:r>
      <w:proofErr w:type="spellEnd"/>
      <w:r>
        <w:rPr>
          <w:color w:val="000000"/>
        </w:rPr>
        <w:t xml:space="preserve"> ou de placebo et évalués selon l’injection réellement reçue. Les différences estimées et les intervalles de confiance à 95 % pour les différences entre groupes dans le pourcentage de participants avec événements ont été calculés selon la méthode de </w:t>
      </w:r>
      <w:proofErr w:type="spellStart"/>
      <w:r>
        <w:rPr>
          <w:color w:val="000000"/>
        </w:rPr>
        <w:t>Miettinen</w:t>
      </w:r>
      <w:proofErr w:type="spellEnd"/>
      <w:r>
        <w:rPr>
          <w:color w:val="000000"/>
        </w:rPr>
        <w:t xml:space="preserve"> et </w:t>
      </w:r>
      <w:proofErr w:type="spellStart"/>
      <w:r>
        <w:rPr>
          <w:color w:val="000000"/>
        </w:rPr>
        <w:t>Nurminen</w:t>
      </w:r>
      <w:proofErr w:type="spellEnd"/>
      <w:r>
        <w:rPr>
          <w:color w:val="000000"/>
        </w:rPr>
        <w:t>.</w:t>
      </w:r>
    </w:p>
    <w:p w14:paraId="0F3B2F02" w14:textId="011D571C" w:rsidR="00662BA3" w:rsidRPr="002D7051" w:rsidRDefault="00B876A9">
      <w:pPr>
        <w:rPr>
          <w:b/>
          <w:bCs/>
        </w:rPr>
      </w:pPr>
      <w:r w:rsidRPr="002D7051">
        <w:rPr>
          <w:b/>
          <w:bCs/>
        </w:rPr>
        <w:t>Résultats </w:t>
      </w:r>
    </w:p>
    <w:p w14:paraId="31B93BF8" w14:textId="77777777" w:rsidR="00B876A9" w:rsidRDefault="00B876A9" w:rsidP="00B876A9">
      <w:pPr>
        <w:pStyle w:val="NormalWeb"/>
        <w:rPr>
          <w:color w:val="000000"/>
        </w:rPr>
      </w:pPr>
      <w:r>
        <w:rPr>
          <w:rStyle w:val="lev"/>
          <w:rFonts w:eastAsiaTheme="majorEastAsia"/>
          <w:color w:val="000000"/>
        </w:rPr>
        <w:t>Participants</w:t>
      </w:r>
      <w:r>
        <w:rPr>
          <w:color w:val="000000"/>
        </w:rPr>
        <w:br/>
        <w:t xml:space="preserve">Sur les 3632 nourrissons randomisés, 2421 ont été assignés pour recevoir le </w:t>
      </w:r>
      <w:proofErr w:type="spellStart"/>
      <w:r>
        <w:rPr>
          <w:color w:val="000000"/>
        </w:rPr>
        <w:t>clesrovimab</w:t>
      </w:r>
      <w:proofErr w:type="spellEnd"/>
      <w:r>
        <w:rPr>
          <w:color w:val="000000"/>
        </w:rPr>
        <w:t xml:space="preserve"> et 1211 pour recevoir le placebo. Parmi eux, 3614 (99,5 %) ont effectivement reçu une injection (Fig. S2). Au total, 2412 nourrissons ont reçu le </w:t>
      </w:r>
      <w:proofErr w:type="spellStart"/>
      <w:r>
        <w:rPr>
          <w:color w:val="000000"/>
        </w:rPr>
        <w:t>clesrovimab</w:t>
      </w:r>
      <w:proofErr w:type="spellEnd"/>
      <w:r>
        <w:rPr>
          <w:color w:val="000000"/>
        </w:rPr>
        <w:t xml:space="preserve">, incluant 1 nourrisson initialement assigné au groupe placebo mais ayant reçu le </w:t>
      </w:r>
      <w:proofErr w:type="spellStart"/>
      <w:r>
        <w:rPr>
          <w:color w:val="000000"/>
        </w:rPr>
        <w:t>clesrovimab</w:t>
      </w:r>
      <w:proofErr w:type="spellEnd"/>
      <w:r>
        <w:rPr>
          <w:color w:val="000000"/>
        </w:rPr>
        <w:t xml:space="preserve">, et 1202 nourrissons ont reçu le placebo. Trois nourrissons ont été randomisés et ont reçu une injection dans deux sites différents de l’essai ; ils ont été comptés à chaque fois pour l’évaluation de l’éligibilité et ont reçu un numéro de randomisation unique pour chaque site. Ces 3 nourrissons ont été exclus des analyses d’efficacité, pharmacocinétiques, d’anticorps anti-médicament, d’anticorps neutralisants sériques et de sécurité. Les analyses primaires d’efficacité ont inclus 2398 nourrissons (99,0 %) dans le groupe </w:t>
      </w:r>
      <w:proofErr w:type="spellStart"/>
      <w:r>
        <w:rPr>
          <w:color w:val="000000"/>
        </w:rPr>
        <w:t>clesrovimab</w:t>
      </w:r>
      <w:proofErr w:type="spellEnd"/>
      <w:r>
        <w:rPr>
          <w:color w:val="000000"/>
        </w:rPr>
        <w:t xml:space="preserve"> et 1201 nourrissons (99,2 %) dans le groupe placebo (Tableau S3). L’âge médian à l’inclusion était de 3,1 mois, la majorité des nourrissons (79,9 %) ayant moins de 6 mois ; 82,5 % étaient des nourrissons prématurés tardifs ou à terme. Les caractéristiques des nourrissons étaient globalement similaires dans les deux groupes (Tableau 1) et représentatives des nourrissons en bonne santé à risque de maladie à VRS (Tableau S4).</w:t>
      </w:r>
    </w:p>
    <w:p w14:paraId="2A3E5C3B" w14:textId="77777777" w:rsidR="00B876A9" w:rsidRDefault="00B876A9" w:rsidP="00B876A9">
      <w:pPr>
        <w:pStyle w:val="NormalWeb"/>
        <w:rPr>
          <w:color w:val="000000"/>
        </w:rPr>
      </w:pPr>
      <w:r>
        <w:rPr>
          <w:rStyle w:val="lev"/>
          <w:rFonts w:eastAsiaTheme="majorEastAsia"/>
          <w:color w:val="000000"/>
        </w:rPr>
        <w:t>Efficacité</w:t>
      </w:r>
      <w:r>
        <w:rPr>
          <w:color w:val="000000"/>
        </w:rPr>
        <w:br/>
        <w:t xml:space="preserve">L’efficacité du </w:t>
      </w:r>
      <w:proofErr w:type="spellStart"/>
      <w:r>
        <w:rPr>
          <w:color w:val="000000"/>
        </w:rPr>
        <w:t>clesrovimab</w:t>
      </w:r>
      <w:proofErr w:type="spellEnd"/>
      <w:r>
        <w:rPr>
          <w:color w:val="000000"/>
        </w:rPr>
        <w:t xml:space="preserve"> par rapport au placebo sur les critères associés au VRS, allant de la maladie légère à sévère jusqu’à 150 et 180 jours après injection, est présentée dans les Figures 1A et 1B, respectivement. Au cours des 150 premiers jours, l’infection respiratoire basse nécessitant une prise en charge médicale associée au VRS (critère principal) a été diagnostiquée chez 60 des 2398 nourrissons du groupe </w:t>
      </w:r>
      <w:proofErr w:type="spellStart"/>
      <w:r>
        <w:rPr>
          <w:color w:val="000000"/>
        </w:rPr>
        <w:t>clesrovimab</w:t>
      </w:r>
      <w:proofErr w:type="spellEnd"/>
      <w:r>
        <w:rPr>
          <w:color w:val="000000"/>
        </w:rPr>
        <w:t xml:space="preserve"> et chez 74 des 1201 nourrissons du groupe placebo, correspondant à une efficacité de</w:t>
      </w:r>
      <w:r>
        <w:rPr>
          <w:rStyle w:val="apple-converted-space"/>
          <w:rFonts w:eastAsiaTheme="majorEastAsia"/>
          <w:color w:val="000000"/>
        </w:rPr>
        <w:t> </w:t>
      </w:r>
      <w:r>
        <w:rPr>
          <w:rStyle w:val="lev"/>
          <w:rFonts w:eastAsiaTheme="majorEastAsia"/>
          <w:color w:val="000000"/>
        </w:rPr>
        <w:t>60,4 %</w:t>
      </w:r>
      <w:r>
        <w:rPr>
          <w:rStyle w:val="apple-converted-space"/>
          <w:rFonts w:eastAsiaTheme="majorEastAsia"/>
          <w:color w:val="000000"/>
        </w:rPr>
        <w:t> </w:t>
      </w:r>
      <w:r>
        <w:rPr>
          <w:color w:val="000000"/>
        </w:rPr>
        <w:t>(IC à 95 % : 44,1 à 71,9 ;</w:t>
      </w:r>
      <w:r>
        <w:rPr>
          <w:rStyle w:val="apple-converted-space"/>
          <w:rFonts w:eastAsiaTheme="majorEastAsia"/>
          <w:color w:val="000000"/>
        </w:rPr>
        <w:t> </w:t>
      </w:r>
      <w:r>
        <w:rPr>
          <w:rStyle w:val="Accentuation"/>
          <w:rFonts w:eastAsiaTheme="majorEastAsia"/>
          <w:color w:val="000000"/>
        </w:rPr>
        <w:t>p</w:t>
      </w:r>
      <w:r>
        <w:rPr>
          <w:color w:val="000000"/>
        </w:rPr>
        <w:t xml:space="preserve">&lt;0,001). Durant la même période, l’hospitalisation associée au VRS a été rapportée chez 9 nourrissons dans le groupe </w:t>
      </w:r>
      <w:proofErr w:type="spellStart"/>
      <w:r>
        <w:rPr>
          <w:color w:val="000000"/>
        </w:rPr>
        <w:t>clesrovimab</w:t>
      </w:r>
      <w:proofErr w:type="spellEnd"/>
      <w:r>
        <w:rPr>
          <w:color w:val="000000"/>
        </w:rPr>
        <w:t xml:space="preserve"> et 28 dans le groupe placebo, pour une efficacité de</w:t>
      </w:r>
      <w:r>
        <w:rPr>
          <w:rStyle w:val="apple-converted-space"/>
          <w:rFonts w:eastAsiaTheme="majorEastAsia"/>
          <w:color w:val="000000"/>
        </w:rPr>
        <w:t> </w:t>
      </w:r>
      <w:r>
        <w:rPr>
          <w:rStyle w:val="lev"/>
          <w:rFonts w:eastAsiaTheme="majorEastAsia"/>
          <w:color w:val="000000"/>
        </w:rPr>
        <w:t>84,2 %</w:t>
      </w:r>
      <w:r>
        <w:rPr>
          <w:rStyle w:val="apple-converted-space"/>
          <w:rFonts w:eastAsiaTheme="majorEastAsia"/>
          <w:color w:val="000000"/>
        </w:rPr>
        <w:t> </w:t>
      </w:r>
      <w:r>
        <w:rPr>
          <w:color w:val="000000"/>
        </w:rPr>
        <w:t>(IC à 95 % : 66,6 à 92,6 ;</w:t>
      </w:r>
      <w:r>
        <w:rPr>
          <w:rStyle w:val="apple-converted-space"/>
          <w:rFonts w:eastAsiaTheme="majorEastAsia"/>
          <w:color w:val="000000"/>
        </w:rPr>
        <w:t> </w:t>
      </w:r>
      <w:r>
        <w:rPr>
          <w:rStyle w:val="Accentuation"/>
          <w:rFonts w:eastAsiaTheme="majorEastAsia"/>
          <w:color w:val="000000"/>
        </w:rPr>
        <w:t>p</w:t>
      </w:r>
      <w:r>
        <w:rPr>
          <w:color w:val="000000"/>
        </w:rPr>
        <w:t>&lt;0,001).</w:t>
      </w:r>
    </w:p>
    <w:p w14:paraId="356513AF" w14:textId="77777777" w:rsidR="00B876A9" w:rsidRDefault="00B876A9" w:rsidP="00B876A9">
      <w:pPr>
        <w:pStyle w:val="NormalWeb"/>
        <w:rPr>
          <w:color w:val="000000"/>
        </w:rPr>
      </w:pPr>
      <w:r>
        <w:rPr>
          <w:color w:val="000000"/>
        </w:rPr>
        <w:t>Dans une analyse post hoc de l’infection respiratoire basse associée au VRS nécessitant au moins un indicateur d’infection et un indicateur de gravité du jour 1 au jour 150, l’efficacité estimée était de</w:t>
      </w:r>
      <w:r>
        <w:rPr>
          <w:rStyle w:val="apple-converted-space"/>
          <w:rFonts w:eastAsiaTheme="majorEastAsia"/>
          <w:color w:val="000000"/>
        </w:rPr>
        <w:t> </w:t>
      </w:r>
      <w:r>
        <w:rPr>
          <w:rStyle w:val="lev"/>
          <w:rFonts w:eastAsiaTheme="majorEastAsia"/>
          <w:color w:val="000000"/>
        </w:rPr>
        <w:t>88,0 %</w:t>
      </w:r>
      <w:r>
        <w:rPr>
          <w:rStyle w:val="apple-converted-space"/>
          <w:rFonts w:eastAsiaTheme="majorEastAsia"/>
          <w:color w:val="000000"/>
        </w:rPr>
        <w:t> </w:t>
      </w:r>
      <w:r>
        <w:rPr>
          <w:color w:val="000000"/>
        </w:rPr>
        <w:t xml:space="preserve">(IC à 95 % : 76,1 à 94,0). L’efficacité du </w:t>
      </w:r>
      <w:proofErr w:type="spellStart"/>
      <w:r>
        <w:rPr>
          <w:color w:val="000000"/>
        </w:rPr>
        <w:t>clesrovimab</w:t>
      </w:r>
      <w:proofErr w:type="spellEnd"/>
      <w:r>
        <w:rPr>
          <w:color w:val="000000"/>
        </w:rPr>
        <w:t xml:space="preserve"> augmentait avec la gravité des critères et persistait jusqu’à 180 jours (Fig. 1). Les courbes de Kaplan–Meier montrent une séparation nette entre les groupes </w:t>
      </w:r>
      <w:proofErr w:type="spellStart"/>
      <w:r>
        <w:rPr>
          <w:color w:val="000000"/>
        </w:rPr>
        <w:t>clesrovimab</w:t>
      </w:r>
      <w:proofErr w:type="spellEnd"/>
      <w:r>
        <w:rPr>
          <w:color w:val="000000"/>
        </w:rPr>
        <w:t xml:space="preserve"> et placebo sur cette période (Fig. 2 et Fig. S3). Jusqu’au jour 180, l’efficacité du </w:t>
      </w:r>
      <w:proofErr w:type="spellStart"/>
      <w:r>
        <w:rPr>
          <w:color w:val="000000"/>
        </w:rPr>
        <w:t>clesrovimab</w:t>
      </w:r>
      <w:proofErr w:type="spellEnd"/>
      <w:r>
        <w:rPr>
          <w:color w:val="000000"/>
        </w:rPr>
        <w:t xml:space="preserve"> était de</w:t>
      </w:r>
      <w:r>
        <w:rPr>
          <w:rStyle w:val="apple-converted-space"/>
          <w:rFonts w:eastAsiaTheme="majorEastAsia"/>
          <w:color w:val="000000"/>
        </w:rPr>
        <w:t> </w:t>
      </w:r>
      <w:r>
        <w:rPr>
          <w:rStyle w:val="lev"/>
          <w:rFonts w:eastAsiaTheme="majorEastAsia"/>
          <w:color w:val="000000"/>
        </w:rPr>
        <w:t>91,7 %</w:t>
      </w:r>
      <w:r>
        <w:rPr>
          <w:rStyle w:val="apple-converted-space"/>
          <w:rFonts w:eastAsiaTheme="majorEastAsia"/>
          <w:color w:val="000000"/>
        </w:rPr>
        <w:t> </w:t>
      </w:r>
      <w:r>
        <w:rPr>
          <w:color w:val="000000"/>
        </w:rPr>
        <w:t xml:space="preserve">(IC à 95 % : 62,9 à 98,1) contre les infections respiratoires basses sévères nécessitant une prise en </w:t>
      </w:r>
      <w:r>
        <w:rPr>
          <w:color w:val="000000"/>
        </w:rPr>
        <w:lastRenderedPageBreak/>
        <w:t>charge médicale associées au VRS et de</w:t>
      </w:r>
      <w:r>
        <w:rPr>
          <w:rStyle w:val="apple-converted-space"/>
          <w:rFonts w:eastAsiaTheme="majorEastAsia"/>
          <w:color w:val="000000"/>
        </w:rPr>
        <w:t> </w:t>
      </w:r>
      <w:r>
        <w:rPr>
          <w:rStyle w:val="lev"/>
          <w:rFonts w:eastAsiaTheme="majorEastAsia"/>
          <w:color w:val="000000"/>
        </w:rPr>
        <w:t>91,2 %</w:t>
      </w:r>
      <w:r>
        <w:rPr>
          <w:rStyle w:val="apple-converted-space"/>
          <w:rFonts w:eastAsiaTheme="majorEastAsia"/>
          <w:color w:val="000000"/>
        </w:rPr>
        <w:t> </w:t>
      </w:r>
      <w:r>
        <w:rPr>
          <w:color w:val="000000"/>
        </w:rPr>
        <w:t>(IC à 95 % : 77,2 à 96,6) contre l’hospitalisation pour infection respiratoire basse associée au VRS.</w:t>
      </w:r>
    </w:p>
    <w:p w14:paraId="01B0E8A9" w14:textId="77777777" w:rsidR="00B876A9" w:rsidRDefault="00B876A9" w:rsidP="00B876A9">
      <w:pPr>
        <w:pStyle w:val="NormalWeb"/>
        <w:rPr>
          <w:color w:val="000000"/>
        </w:rPr>
      </w:pPr>
      <w:r>
        <w:rPr>
          <w:color w:val="000000"/>
        </w:rPr>
        <w:t>Le</w:t>
      </w:r>
      <w:r>
        <w:rPr>
          <w:rStyle w:val="apple-converted-space"/>
          <w:rFonts w:eastAsiaTheme="majorEastAsia"/>
          <w:color w:val="000000"/>
        </w:rPr>
        <w:t> </w:t>
      </w:r>
      <w:r>
        <w:rPr>
          <w:rStyle w:val="lev"/>
          <w:rFonts w:eastAsiaTheme="majorEastAsia"/>
          <w:color w:val="000000"/>
        </w:rPr>
        <w:t>nombre nécessaire à immuniser</w:t>
      </w:r>
      <w:r>
        <w:rPr>
          <w:rStyle w:val="apple-converted-space"/>
          <w:rFonts w:eastAsiaTheme="majorEastAsia"/>
          <w:color w:val="000000"/>
        </w:rPr>
        <w:t> </w:t>
      </w:r>
      <w:r>
        <w:rPr>
          <w:color w:val="000000"/>
        </w:rPr>
        <w:t>pour prévenir un cas d’infection à VRS jusqu’au jour 150 variait de 15 (IC à 95 % : 11 à 21) pour l’infection respiratoire aiguë associée au VRS à 108 (IC à 95 % : 60 à 226) pour les infections respiratoires basses sévères nécessitant une prise en charge médicale (Fig. 1).</w:t>
      </w:r>
    </w:p>
    <w:p w14:paraId="7ADA44D4" w14:textId="77777777" w:rsidR="00B876A9" w:rsidRDefault="00B876A9" w:rsidP="00B876A9">
      <w:pPr>
        <w:pStyle w:val="NormalWeb"/>
        <w:rPr>
          <w:color w:val="000000"/>
        </w:rPr>
      </w:pPr>
      <w:r>
        <w:rPr>
          <w:color w:val="000000"/>
        </w:rPr>
        <w:t xml:space="preserve">Jusqu’au jour 150, l’hospitalisation pour infection respiratoire basse de toute cause a été rapportée chez 60 nourrissons dans le groupe </w:t>
      </w:r>
      <w:proofErr w:type="spellStart"/>
      <w:r>
        <w:rPr>
          <w:color w:val="000000"/>
        </w:rPr>
        <w:t>clesrovimab</w:t>
      </w:r>
      <w:proofErr w:type="spellEnd"/>
      <w:r>
        <w:rPr>
          <w:color w:val="000000"/>
        </w:rPr>
        <w:t xml:space="preserve"> et 58 dans le groupe placebo (efficacité</w:t>
      </w:r>
      <w:r>
        <w:rPr>
          <w:rStyle w:val="apple-converted-space"/>
          <w:rFonts w:eastAsiaTheme="majorEastAsia"/>
          <w:color w:val="000000"/>
        </w:rPr>
        <w:t> </w:t>
      </w:r>
      <w:r>
        <w:rPr>
          <w:rStyle w:val="lev"/>
          <w:rFonts w:eastAsiaTheme="majorEastAsia"/>
          <w:color w:val="000000"/>
        </w:rPr>
        <w:t>49,0 %</w:t>
      </w:r>
      <w:r>
        <w:rPr>
          <w:color w:val="000000"/>
        </w:rPr>
        <w:t xml:space="preserve">, IC à 95 % : 26,7 à 64,5). Sur la même période, les cas d’infection respiratoire basse nécessitant une prise en charge médicale (hospitalisation ou consultation) de toute cause ont été signalés chez 526 nourrissons dans le groupe </w:t>
      </w:r>
      <w:proofErr w:type="spellStart"/>
      <w:r>
        <w:rPr>
          <w:color w:val="000000"/>
        </w:rPr>
        <w:t>clesrovimab</w:t>
      </w:r>
      <w:proofErr w:type="spellEnd"/>
      <w:r>
        <w:rPr>
          <w:color w:val="000000"/>
        </w:rPr>
        <w:t xml:space="preserve"> et 296 dans le groupe placebo (efficacité du vaccin</w:t>
      </w:r>
      <w:r>
        <w:rPr>
          <w:rStyle w:val="apple-converted-space"/>
          <w:rFonts w:eastAsiaTheme="majorEastAsia"/>
          <w:color w:val="000000"/>
        </w:rPr>
        <w:t> </w:t>
      </w:r>
      <w:r>
        <w:rPr>
          <w:rStyle w:val="lev"/>
          <w:rFonts w:eastAsiaTheme="majorEastAsia"/>
          <w:color w:val="000000"/>
        </w:rPr>
        <w:t>13,1 %</w:t>
      </w:r>
      <w:r>
        <w:rPr>
          <w:color w:val="000000"/>
        </w:rPr>
        <w:t>, IC à 95 % : −0,6 à 24,8).</w:t>
      </w:r>
    </w:p>
    <w:p w14:paraId="228F6405" w14:textId="77777777" w:rsidR="00B876A9" w:rsidRDefault="00B876A9" w:rsidP="00B876A9">
      <w:pPr>
        <w:pStyle w:val="NormalWeb"/>
        <w:rPr>
          <w:color w:val="000000"/>
        </w:rPr>
      </w:pPr>
      <w:r>
        <w:rPr>
          <w:color w:val="000000"/>
        </w:rPr>
        <w:t xml:space="preserve">Des infections à VRS dues aux sous-types A et B ont été détectées au cours de l’essai. L’efficacité du </w:t>
      </w:r>
      <w:proofErr w:type="spellStart"/>
      <w:r>
        <w:rPr>
          <w:color w:val="000000"/>
        </w:rPr>
        <w:t>clesrovimab</w:t>
      </w:r>
      <w:proofErr w:type="spellEnd"/>
      <w:r>
        <w:rPr>
          <w:color w:val="000000"/>
        </w:rPr>
        <w:t xml:space="preserve"> selon les sous-types était cohérente avec l’efficacité globale (Fig. S4).</w:t>
      </w:r>
    </w:p>
    <w:p w14:paraId="71FCC68A" w14:textId="77777777" w:rsidR="00B876A9" w:rsidRDefault="00B876A9" w:rsidP="00B876A9">
      <w:pPr>
        <w:pStyle w:val="NormalWeb"/>
        <w:rPr>
          <w:color w:val="000000"/>
        </w:rPr>
      </w:pPr>
      <w:r>
        <w:rPr>
          <w:color w:val="000000"/>
        </w:rPr>
        <w:t xml:space="preserve">L’efficacité observée du </w:t>
      </w:r>
      <w:proofErr w:type="spellStart"/>
      <w:r>
        <w:rPr>
          <w:color w:val="000000"/>
        </w:rPr>
        <w:t>clesrovimab</w:t>
      </w:r>
      <w:proofErr w:type="spellEnd"/>
      <w:r>
        <w:rPr>
          <w:color w:val="000000"/>
        </w:rPr>
        <w:t xml:space="preserve"> par rapport au placebo était globalement similaire dans les sous-groupes selon l’âge gestationnel, le poids corporel, l’âge chronologique et l’hémisphère géographique, et concordait avec l’efficacité observée pour l’ensemble de la population, comme le montrent les intervalles de confiance à 95 % qui se chevauchent (Fig. 3, Fig. S5 et S6, et Tableau S5). Certaines bornes inférieures négatives des intervalles de confiance s’expliquent par le faible nombre de cas dans ces sous-groupes, entraînant une grande variabilité et de larges intervalles englobant 0.</w:t>
      </w:r>
    </w:p>
    <w:p w14:paraId="09599B37" w14:textId="77777777" w:rsidR="00B876A9" w:rsidRDefault="00B876A9" w:rsidP="00B876A9">
      <w:pPr>
        <w:pStyle w:val="NormalWeb"/>
        <w:rPr>
          <w:color w:val="000000"/>
        </w:rPr>
      </w:pPr>
      <w:r>
        <w:rPr>
          <w:color w:val="000000"/>
        </w:rPr>
        <w:t>Le pourcentage de nourrissons présentant des infections respiratoires communautaires non liées au VRS entre le jour 1 et le jour 180 était similaire dans les deux groupes. Les infections les plus fréquentes étaient dues au rhinovirus humain, à l’entérovirus et au SARS-CoV-2 (Tableau S6). En l’absence de prophylaxie contre le VRS durant la saison 2, l’incidence de la maladie à VRS était similaire entre les groupes (Section S9). Les taux d’incidence sur 5 mois d’infection respiratoire basse nécessitant une prise en charge médicale associée au VRS étaient de</w:t>
      </w:r>
      <w:r>
        <w:rPr>
          <w:rStyle w:val="apple-converted-space"/>
          <w:rFonts w:eastAsiaTheme="majorEastAsia"/>
          <w:color w:val="000000"/>
        </w:rPr>
        <w:t> </w:t>
      </w:r>
      <w:r>
        <w:rPr>
          <w:rStyle w:val="lev"/>
          <w:rFonts w:eastAsiaTheme="majorEastAsia"/>
          <w:color w:val="000000"/>
        </w:rPr>
        <w:t>5,5 %</w:t>
      </w:r>
      <w:r>
        <w:rPr>
          <w:rStyle w:val="apple-converted-space"/>
          <w:rFonts w:eastAsiaTheme="majorEastAsia"/>
          <w:color w:val="000000"/>
        </w:rPr>
        <w:t> </w:t>
      </w:r>
      <w:r>
        <w:rPr>
          <w:color w:val="000000"/>
        </w:rPr>
        <w:t xml:space="preserve">(IC à 95 % : 4,1 à 7,1) pour le </w:t>
      </w:r>
      <w:proofErr w:type="spellStart"/>
      <w:r>
        <w:rPr>
          <w:color w:val="000000"/>
        </w:rPr>
        <w:t>clesrovimab</w:t>
      </w:r>
      <w:proofErr w:type="spellEnd"/>
      <w:r>
        <w:rPr>
          <w:color w:val="000000"/>
        </w:rPr>
        <w:t xml:space="preserve"> et</w:t>
      </w:r>
      <w:r>
        <w:rPr>
          <w:rStyle w:val="apple-converted-space"/>
          <w:rFonts w:eastAsiaTheme="majorEastAsia"/>
          <w:color w:val="000000"/>
        </w:rPr>
        <w:t> </w:t>
      </w:r>
      <w:r>
        <w:rPr>
          <w:rStyle w:val="lev"/>
          <w:rFonts w:eastAsiaTheme="majorEastAsia"/>
          <w:color w:val="000000"/>
        </w:rPr>
        <w:t>5,4 %</w:t>
      </w:r>
      <w:r>
        <w:rPr>
          <w:rStyle w:val="apple-converted-space"/>
          <w:rFonts w:eastAsiaTheme="majorEastAsia"/>
          <w:color w:val="000000"/>
        </w:rPr>
        <w:t> </w:t>
      </w:r>
      <w:r>
        <w:rPr>
          <w:color w:val="000000"/>
        </w:rPr>
        <w:t>(IC à 96 % : 3,5 à 7,9) pour le placebo.</w:t>
      </w:r>
    </w:p>
    <w:p w14:paraId="72E97B8C" w14:textId="77777777" w:rsidR="00486ADF" w:rsidRDefault="00486ADF" w:rsidP="00486ADF">
      <w:pPr>
        <w:pStyle w:val="NormalWeb"/>
        <w:rPr>
          <w:color w:val="000000"/>
        </w:rPr>
      </w:pPr>
      <w:r>
        <w:rPr>
          <w:rStyle w:val="lev"/>
          <w:rFonts w:eastAsiaTheme="majorEastAsia"/>
          <w:color w:val="000000"/>
        </w:rPr>
        <w:t>Pharmacocinétique</w:t>
      </w:r>
      <w:r>
        <w:rPr>
          <w:color w:val="000000"/>
        </w:rPr>
        <w:br/>
        <w:t xml:space="preserve">Parmi les points de mesure évalués, le pic de concentration sérique de </w:t>
      </w:r>
      <w:proofErr w:type="spellStart"/>
      <w:r>
        <w:rPr>
          <w:color w:val="000000"/>
        </w:rPr>
        <w:t>clesrovimab</w:t>
      </w:r>
      <w:proofErr w:type="spellEnd"/>
      <w:r>
        <w:rPr>
          <w:color w:val="000000"/>
        </w:rPr>
        <w:t xml:space="preserve"> a été observé au jour 7, puis a diminué avec le temps (Fig. S7). Au jour 150, la concentration géométrique moyenne de </w:t>
      </w:r>
      <w:proofErr w:type="spellStart"/>
      <w:r>
        <w:rPr>
          <w:color w:val="000000"/>
        </w:rPr>
        <w:t>clesrovimab</w:t>
      </w:r>
      <w:proofErr w:type="spellEnd"/>
      <w:r>
        <w:rPr>
          <w:color w:val="000000"/>
        </w:rPr>
        <w:t xml:space="preserve"> était de</w:t>
      </w:r>
      <w:r>
        <w:rPr>
          <w:rStyle w:val="apple-converted-space"/>
          <w:rFonts w:eastAsiaTheme="majorEastAsia"/>
          <w:color w:val="000000"/>
        </w:rPr>
        <w:t> </w:t>
      </w:r>
      <w:r>
        <w:rPr>
          <w:rStyle w:val="lev"/>
          <w:rFonts w:eastAsiaTheme="majorEastAsia"/>
          <w:color w:val="000000"/>
        </w:rPr>
        <w:t>10,2 μg/</w:t>
      </w:r>
      <w:proofErr w:type="spellStart"/>
      <w:r>
        <w:rPr>
          <w:rStyle w:val="lev"/>
          <w:rFonts w:eastAsiaTheme="majorEastAsia"/>
          <w:color w:val="000000"/>
        </w:rPr>
        <w:t>mL</w:t>
      </w:r>
      <w:proofErr w:type="spellEnd"/>
      <w:r>
        <w:rPr>
          <w:rStyle w:val="apple-converted-space"/>
          <w:rFonts w:eastAsiaTheme="majorEastAsia"/>
          <w:color w:val="000000"/>
        </w:rPr>
        <w:t> </w:t>
      </w:r>
      <w:r>
        <w:rPr>
          <w:color w:val="000000"/>
        </w:rPr>
        <w:t>(IC à 95 % : 10,0 à 10,4) dans la population per-protocole composée de 2107 nourrissons. La concentration géométrique moyenne au jour 150 était de</w:t>
      </w:r>
      <w:r>
        <w:rPr>
          <w:rStyle w:val="apple-converted-space"/>
          <w:rFonts w:eastAsiaTheme="majorEastAsia"/>
          <w:color w:val="000000"/>
        </w:rPr>
        <w:t> </w:t>
      </w:r>
      <w:r>
        <w:rPr>
          <w:rStyle w:val="lev"/>
          <w:rFonts w:eastAsiaTheme="majorEastAsia"/>
          <w:color w:val="000000"/>
        </w:rPr>
        <w:t>11,7 μg/</w:t>
      </w:r>
      <w:proofErr w:type="spellStart"/>
      <w:r>
        <w:rPr>
          <w:rStyle w:val="lev"/>
          <w:rFonts w:eastAsiaTheme="majorEastAsia"/>
          <w:color w:val="000000"/>
        </w:rPr>
        <w:t>mL</w:t>
      </w:r>
      <w:proofErr w:type="spellEnd"/>
      <w:r>
        <w:rPr>
          <w:rStyle w:val="apple-converted-space"/>
          <w:rFonts w:eastAsiaTheme="majorEastAsia"/>
          <w:color w:val="000000"/>
        </w:rPr>
        <w:t> </w:t>
      </w:r>
      <w:r>
        <w:rPr>
          <w:color w:val="000000"/>
        </w:rPr>
        <w:t>(IC à 95 % : 11,3 à 12,0) chez les 759 nourrissons pesant moins de 5 kg et de</w:t>
      </w:r>
      <w:r>
        <w:rPr>
          <w:rStyle w:val="apple-converted-space"/>
          <w:rFonts w:eastAsiaTheme="majorEastAsia"/>
          <w:color w:val="000000"/>
        </w:rPr>
        <w:t> </w:t>
      </w:r>
      <w:r>
        <w:rPr>
          <w:rStyle w:val="lev"/>
          <w:rFonts w:eastAsiaTheme="majorEastAsia"/>
          <w:color w:val="000000"/>
        </w:rPr>
        <w:t>9,4 μg/</w:t>
      </w:r>
      <w:proofErr w:type="spellStart"/>
      <w:proofErr w:type="gramStart"/>
      <w:r>
        <w:rPr>
          <w:rStyle w:val="lev"/>
          <w:rFonts w:eastAsiaTheme="majorEastAsia"/>
          <w:color w:val="000000"/>
        </w:rPr>
        <w:t>mL</w:t>
      </w:r>
      <w:proofErr w:type="spellEnd"/>
      <w:r>
        <w:rPr>
          <w:color w:val="000000"/>
        </w:rPr>
        <w:t>(</w:t>
      </w:r>
      <w:proofErr w:type="gramEnd"/>
      <w:r>
        <w:rPr>
          <w:color w:val="000000"/>
        </w:rPr>
        <w:t>IC à 95 % : 9,2 à 9,7) chez les 1348 nourrissons pesant 5 kg ou plus au moment de l’injection (Tableau S7).</w:t>
      </w:r>
    </w:p>
    <w:p w14:paraId="0235A917" w14:textId="77777777" w:rsidR="00486ADF" w:rsidRDefault="00486ADF" w:rsidP="00486ADF">
      <w:pPr>
        <w:pStyle w:val="NormalWeb"/>
        <w:rPr>
          <w:color w:val="000000"/>
        </w:rPr>
      </w:pPr>
      <w:r>
        <w:rPr>
          <w:rStyle w:val="lev"/>
          <w:rFonts w:eastAsiaTheme="majorEastAsia"/>
          <w:color w:val="000000"/>
        </w:rPr>
        <w:t>Anticorps anti-médicament</w:t>
      </w:r>
      <w:r>
        <w:rPr>
          <w:color w:val="000000"/>
        </w:rPr>
        <w:br/>
        <w:t xml:space="preserve">Au jour 150, des résultats positifs pour les anticorps anti-médicament ont été rapportés chez 120 des 2112 nourrissons évaluables (5,7 %) du groupe </w:t>
      </w:r>
      <w:proofErr w:type="spellStart"/>
      <w:r>
        <w:rPr>
          <w:color w:val="000000"/>
        </w:rPr>
        <w:t>clesrovimab</w:t>
      </w:r>
      <w:proofErr w:type="spellEnd"/>
      <w:r>
        <w:rPr>
          <w:color w:val="000000"/>
        </w:rPr>
        <w:t xml:space="preserve">. Les anticorps anti-médicament n’ont pas été évalués dans le groupe placebo. Le pourcentage de nourrissons avec des résultats positifs pour les anticorps anti-médicament a augmenté au fil du temps (10,6 % </w:t>
      </w:r>
      <w:r>
        <w:rPr>
          <w:color w:val="000000"/>
        </w:rPr>
        <w:lastRenderedPageBreak/>
        <w:t xml:space="preserve">au jour 240, 36,0 % au jour 365 et 55,3 % au jour 515). Ces anticorps n’ont eu aucun effet sur la pharmacocinétique du </w:t>
      </w:r>
      <w:proofErr w:type="spellStart"/>
      <w:r>
        <w:rPr>
          <w:color w:val="000000"/>
        </w:rPr>
        <w:t>clesrovimab</w:t>
      </w:r>
      <w:proofErr w:type="spellEnd"/>
      <w:r>
        <w:rPr>
          <w:color w:val="000000"/>
        </w:rPr>
        <w:t xml:space="preserve"> ni sur les titres d’anticorps neutralisants sériques pendant la période de suivi de l’efficacité. Les concentrations sériques de </w:t>
      </w:r>
      <w:proofErr w:type="spellStart"/>
      <w:r>
        <w:rPr>
          <w:color w:val="000000"/>
        </w:rPr>
        <w:t>clesrovimab</w:t>
      </w:r>
      <w:proofErr w:type="spellEnd"/>
      <w:r>
        <w:rPr>
          <w:color w:val="000000"/>
        </w:rPr>
        <w:t xml:space="preserve"> et les titres d’anticorps neutralisants sériques étaient similaires entre les sous-groupes définis selon la présence ou l’absence d’anticorps anti-médicament à partir du statut immunitaire au jour 150 (</w:t>
      </w:r>
      <w:proofErr w:type="spellStart"/>
      <w:r>
        <w:rPr>
          <w:color w:val="000000"/>
        </w:rPr>
        <w:t>Figs</w:t>
      </w:r>
      <w:proofErr w:type="spellEnd"/>
      <w:r>
        <w:rPr>
          <w:color w:val="000000"/>
        </w:rPr>
        <w:t>. S8 et S9).</w:t>
      </w:r>
    </w:p>
    <w:p w14:paraId="5FA49B2A" w14:textId="77777777" w:rsidR="00486ADF" w:rsidRDefault="00486ADF" w:rsidP="00486ADF">
      <w:pPr>
        <w:pStyle w:val="NormalWeb"/>
        <w:rPr>
          <w:color w:val="000000"/>
        </w:rPr>
      </w:pPr>
      <w:r>
        <w:rPr>
          <w:rStyle w:val="lev"/>
          <w:rFonts w:eastAsiaTheme="majorEastAsia"/>
          <w:color w:val="000000"/>
        </w:rPr>
        <w:t>Séquences de la protéine F du VRS</w:t>
      </w:r>
      <w:r>
        <w:rPr>
          <w:color w:val="000000"/>
        </w:rPr>
        <w:br/>
        <w:t xml:space="preserve">La protéine F du VRS a été séquencée dans des échantillons prélevés chez des nourrissons ayant eu une infection à VRS. Jusqu’au jour 180, des substitutions d’acides aminés dans le site de liaison au </w:t>
      </w:r>
      <w:proofErr w:type="spellStart"/>
      <w:r>
        <w:rPr>
          <w:color w:val="000000"/>
        </w:rPr>
        <w:t>clesrovimab</w:t>
      </w:r>
      <w:proofErr w:type="spellEnd"/>
      <w:r>
        <w:rPr>
          <w:color w:val="000000"/>
        </w:rPr>
        <w:t xml:space="preserve"> avec une fréquence allélique d’au moins 10 % ont été identifiées chez sept nourrissons du groupe </w:t>
      </w:r>
      <w:proofErr w:type="spellStart"/>
      <w:r>
        <w:rPr>
          <w:color w:val="000000"/>
        </w:rPr>
        <w:t>clesrovimab</w:t>
      </w:r>
      <w:proofErr w:type="spellEnd"/>
      <w:r>
        <w:rPr>
          <w:color w:val="000000"/>
        </w:rPr>
        <w:t xml:space="preserve"> et un nourrisson du groupe placebo. Chez les nourrissons du groupe </w:t>
      </w:r>
      <w:proofErr w:type="spellStart"/>
      <w:r>
        <w:rPr>
          <w:color w:val="000000"/>
        </w:rPr>
        <w:t>clesrovimab</w:t>
      </w:r>
      <w:proofErr w:type="spellEnd"/>
      <w:r>
        <w:rPr>
          <w:color w:val="000000"/>
        </w:rPr>
        <w:t>, toutes les variantes concernaient la position 446 de l’acide aminé (trois G446R, trois G446E et un G446W). Un seul de ces nourrissons a répondu aux critères d’hospitalisation associée au VRS ; les autres présentaient des infections légères ne répondant pas aux critères d’infection respiratoire basse nécessitant une prise en charge médicale ou d’hospitalisation associée au VRS.</w:t>
      </w:r>
    </w:p>
    <w:p w14:paraId="48E182DC" w14:textId="77777777" w:rsidR="00486ADF" w:rsidRDefault="00486ADF" w:rsidP="00486ADF">
      <w:pPr>
        <w:pStyle w:val="NormalWeb"/>
        <w:rPr>
          <w:color w:val="000000"/>
        </w:rPr>
      </w:pPr>
      <w:r>
        <w:rPr>
          <w:rStyle w:val="lev"/>
          <w:rFonts w:eastAsiaTheme="majorEastAsia"/>
          <w:color w:val="000000"/>
        </w:rPr>
        <w:t>Sécurité</w:t>
      </w:r>
      <w:r>
        <w:rPr>
          <w:color w:val="000000"/>
        </w:rPr>
        <w:br/>
        <w:t>Le pourcentage de nourrissons présentant des événements indésirables était globalement similaire dans les deux groupes (Tableau 2). L’événement indésirable le plus fréquent au site d’injection était la douleur au point d’injection, et l’événement systémique le plus fréquent était l’irritabilité. La plupart des événements étaient de grade 1 ou 2 (Tableau S8). Un faible pourcentage (≤1,2 %) de nourrissons a présenté de la fièvre (≥102,2 °F rectale ou ≥101,7 °F axillaire) durant les 5 premiers jours.</w:t>
      </w:r>
    </w:p>
    <w:p w14:paraId="0E661248" w14:textId="77777777" w:rsidR="00486ADF" w:rsidRDefault="00486ADF" w:rsidP="00486ADF">
      <w:pPr>
        <w:pStyle w:val="NormalWeb"/>
        <w:rPr>
          <w:color w:val="000000"/>
        </w:rPr>
      </w:pPr>
      <w:r>
        <w:rPr>
          <w:color w:val="000000"/>
        </w:rPr>
        <w:t xml:space="preserve">Le pourcentage de nourrissons ayant présenté des événements indésirables d’intérêt particulier était inférieur à 0,5 % dans chaque groupe (Tableau 2). Tous ces événements étaient non graves et de grade 1 ou 2, sauf un nourrisson du groupe </w:t>
      </w:r>
      <w:proofErr w:type="spellStart"/>
      <w:r>
        <w:rPr>
          <w:color w:val="000000"/>
        </w:rPr>
        <w:t>clesrovimab</w:t>
      </w:r>
      <w:proofErr w:type="spellEnd"/>
      <w:r>
        <w:rPr>
          <w:color w:val="000000"/>
        </w:rPr>
        <w:t xml:space="preserve"> qui a présenté un urticaire de grade 3 au jour 9 après injection, résolu au bout de 4 jours. Ce nourrisson avait également présenté une infection respiratoire au jour 7 ; ni l’urticaire ni l’infection respiratoire n’ont été considérés par l’investigateur comme liés au </w:t>
      </w:r>
      <w:proofErr w:type="spellStart"/>
      <w:r>
        <w:rPr>
          <w:color w:val="000000"/>
        </w:rPr>
        <w:t>clesrovimab</w:t>
      </w:r>
      <w:proofErr w:type="spellEnd"/>
      <w:r>
        <w:rPr>
          <w:color w:val="000000"/>
        </w:rPr>
        <w:t>.</w:t>
      </w:r>
    </w:p>
    <w:p w14:paraId="7CD81E42" w14:textId="77777777" w:rsidR="00486ADF" w:rsidRDefault="00486ADF" w:rsidP="00486ADF">
      <w:pPr>
        <w:pStyle w:val="NormalWeb"/>
        <w:rPr>
          <w:color w:val="000000"/>
        </w:rPr>
      </w:pPr>
      <w:r>
        <w:rPr>
          <w:color w:val="000000"/>
        </w:rPr>
        <w:t xml:space="preserve">Un événement indésirable d’intérêt particulier — anaphylaxie ou hypersensibilité (bronchospasme de grade 2) — est survenu au jour 3 après injection dans le groupe </w:t>
      </w:r>
      <w:proofErr w:type="spellStart"/>
      <w:r>
        <w:rPr>
          <w:color w:val="000000"/>
        </w:rPr>
        <w:t>clesrovimab</w:t>
      </w:r>
      <w:proofErr w:type="spellEnd"/>
      <w:r>
        <w:rPr>
          <w:color w:val="000000"/>
        </w:rPr>
        <w:t>, mais n’a pas été considéré comme lié au médicament par l’investigateur.</w:t>
      </w:r>
    </w:p>
    <w:p w14:paraId="0A0DBC78" w14:textId="77777777" w:rsidR="00486ADF" w:rsidRDefault="00486ADF" w:rsidP="00486ADF">
      <w:pPr>
        <w:pStyle w:val="NormalWeb"/>
        <w:rPr>
          <w:color w:val="000000"/>
        </w:rPr>
      </w:pPr>
      <w:r>
        <w:rPr>
          <w:color w:val="000000"/>
        </w:rPr>
        <w:t xml:space="preserve">Un événement indésirable grave </w:t>
      </w:r>
      <w:proofErr w:type="gramStart"/>
      <w:r>
        <w:rPr>
          <w:color w:val="000000"/>
        </w:rPr>
        <w:t>considéré</w:t>
      </w:r>
      <w:proofErr w:type="gramEnd"/>
      <w:r>
        <w:rPr>
          <w:color w:val="000000"/>
        </w:rPr>
        <w:t xml:space="preserve"> comme lié au </w:t>
      </w:r>
      <w:proofErr w:type="spellStart"/>
      <w:r>
        <w:rPr>
          <w:color w:val="000000"/>
        </w:rPr>
        <w:t>clesrovimab</w:t>
      </w:r>
      <w:proofErr w:type="spellEnd"/>
      <w:r>
        <w:rPr>
          <w:color w:val="000000"/>
        </w:rPr>
        <w:t xml:space="preserve"> ou au placebo est survenu dans chaque groupe. Un nourrisson ayant reçu le </w:t>
      </w:r>
      <w:proofErr w:type="spellStart"/>
      <w:r>
        <w:rPr>
          <w:color w:val="000000"/>
        </w:rPr>
        <w:t>clesrovimab</w:t>
      </w:r>
      <w:proofErr w:type="spellEnd"/>
      <w:r>
        <w:rPr>
          <w:color w:val="000000"/>
        </w:rPr>
        <w:t xml:space="preserve"> a présenté une augmentation de la température corporelle (maximum 100,4 °F) pendant moins de 11 heures au jour 4 après injection, nécessitant une hospitalisation. Dans le groupe placebo, une leucémie aiguë lymphoblastique précurseur B a été diagnostiquée chez un nourrisson au jour 3 après injection.</w:t>
      </w:r>
    </w:p>
    <w:p w14:paraId="4C04100D" w14:textId="77777777" w:rsidR="00486ADF" w:rsidRDefault="00486ADF" w:rsidP="00486ADF">
      <w:pPr>
        <w:pStyle w:val="NormalWeb"/>
        <w:rPr>
          <w:color w:val="000000"/>
        </w:rPr>
      </w:pPr>
      <w:r>
        <w:rPr>
          <w:color w:val="000000"/>
        </w:rPr>
        <w:t>Aucun événement indésirable d’intérêt particulier n’a été signalé chez les nourrissons positifs pour les anticorps anti-médicament. Le pourcentage de nourrissons présentant des événements graves était similaire chez ceux avec anticorps anti-médicament positifs (11,7 %), négatifs (11,9 %) et dans le groupe placebo (12,4 %) jusqu’au jour 365 de la saison 1, de même que le pourcentage de nourrissons avec événements graves du jour 365 au jour 515 de la saison 2 (2,9 %, 3,4 % et 4,0 % respectivement).</w:t>
      </w:r>
    </w:p>
    <w:p w14:paraId="52E88F00" w14:textId="77777777" w:rsidR="00486ADF" w:rsidRDefault="00486ADF" w:rsidP="00486ADF">
      <w:pPr>
        <w:pStyle w:val="NormalWeb"/>
        <w:rPr>
          <w:color w:val="000000"/>
        </w:rPr>
      </w:pPr>
      <w:r>
        <w:rPr>
          <w:color w:val="000000"/>
        </w:rPr>
        <w:lastRenderedPageBreak/>
        <w:t xml:space="preserve">L’incidence de décès était similaire dans les deux groupes : 7 nourrissons sur 2409 (0,3 %) dans le groupe </w:t>
      </w:r>
      <w:proofErr w:type="spellStart"/>
      <w:r>
        <w:rPr>
          <w:color w:val="000000"/>
        </w:rPr>
        <w:t>clesrovimab</w:t>
      </w:r>
      <w:proofErr w:type="spellEnd"/>
      <w:r>
        <w:rPr>
          <w:color w:val="000000"/>
        </w:rPr>
        <w:t xml:space="preserve"> et 3 sur 1202 (0,2 %) dans le groupe placebo. Aucun décès n’a été considéré par l’investigateur comme lié au </w:t>
      </w:r>
      <w:proofErr w:type="spellStart"/>
      <w:r>
        <w:rPr>
          <w:color w:val="000000"/>
        </w:rPr>
        <w:t>clesrovimab</w:t>
      </w:r>
      <w:proofErr w:type="spellEnd"/>
      <w:r>
        <w:rPr>
          <w:color w:val="000000"/>
        </w:rPr>
        <w:t>, au placebo ou attribué au VRS. Les détails sur les décès sont fournis dans la Section S10.</w:t>
      </w:r>
    </w:p>
    <w:p w14:paraId="705A80A6" w14:textId="77777777" w:rsidR="00D02340" w:rsidRDefault="00D02340" w:rsidP="00D02340">
      <w:pPr>
        <w:pStyle w:val="NormalWeb"/>
        <w:rPr>
          <w:color w:val="000000"/>
        </w:rPr>
      </w:pPr>
      <w:r>
        <w:rPr>
          <w:rStyle w:val="lev"/>
          <w:rFonts w:eastAsiaTheme="majorEastAsia"/>
          <w:color w:val="000000"/>
        </w:rPr>
        <w:t>Discussion</w:t>
      </w:r>
    </w:p>
    <w:p w14:paraId="5B064681" w14:textId="77777777" w:rsidR="00D02340" w:rsidRDefault="00D02340" w:rsidP="00D02340">
      <w:pPr>
        <w:pStyle w:val="NormalWeb"/>
        <w:rPr>
          <w:color w:val="000000"/>
        </w:rPr>
      </w:pPr>
      <w:r>
        <w:rPr>
          <w:color w:val="000000"/>
        </w:rPr>
        <w:t xml:space="preserve">Dans cet essai de phase 2b–3, une dose unique de 105 mg de </w:t>
      </w:r>
      <w:proofErr w:type="spellStart"/>
      <w:r>
        <w:rPr>
          <w:color w:val="000000"/>
        </w:rPr>
        <w:t>clesrovimab</w:t>
      </w:r>
      <w:proofErr w:type="spellEnd"/>
      <w:r>
        <w:rPr>
          <w:color w:val="000000"/>
        </w:rPr>
        <w:t xml:space="preserve"> a protégé les nourrissons prématurés tardifs et à terme en bonne santé contre la maladie à VRS légère, modérée ou sévère. De plus, l’efficacité estimée contre l’hospitalisation pour infection respiratoire basse de toute cause était de</w:t>
      </w:r>
      <w:r>
        <w:rPr>
          <w:rStyle w:val="apple-converted-space"/>
          <w:rFonts w:eastAsiaTheme="majorEastAsia"/>
          <w:color w:val="000000"/>
        </w:rPr>
        <w:t> </w:t>
      </w:r>
      <w:r>
        <w:rPr>
          <w:rStyle w:val="lev"/>
          <w:rFonts w:eastAsiaTheme="majorEastAsia"/>
          <w:color w:val="000000"/>
        </w:rPr>
        <w:t>49 %</w:t>
      </w:r>
      <w:r>
        <w:rPr>
          <w:color w:val="000000"/>
        </w:rPr>
        <w:t xml:space="preserve">. Cette observation suggère un bénéfice potentiel supplémentaire pour la santé publique, car l’infection respiratoire basse reste une cause majeure d’hospitalisation et de mortalité infantile dans le monde.26 Par ailleurs, nous n’avons observé aucune augmentation de l’incidence ou de la gravité des infections à VRS lors de la deuxième saison du VRS chez les nourrissons du groupe </w:t>
      </w:r>
      <w:proofErr w:type="spellStart"/>
      <w:r>
        <w:rPr>
          <w:color w:val="000000"/>
        </w:rPr>
        <w:t>clesrovimab</w:t>
      </w:r>
      <w:proofErr w:type="spellEnd"/>
      <w:r>
        <w:rPr>
          <w:color w:val="000000"/>
        </w:rPr>
        <w:t xml:space="preserve"> par rapport au groupe placebo, ce qui correspond aux résultats antérieurs indiquant que les nourrissons protégés contre le VRS lors de leur première saison ne présentent pas de maladie plus sévère lors d’expositions ultérieures.</w:t>
      </w:r>
    </w:p>
    <w:p w14:paraId="1ACBB9C7" w14:textId="77777777" w:rsidR="00D02340" w:rsidRDefault="00D02340" w:rsidP="00D02340">
      <w:pPr>
        <w:pStyle w:val="NormalWeb"/>
        <w:rPr>
          <w:color w:val="000000"/>
        </w:rPr>
      </w:pPr>
      <w:r>
        <w:rPr>
          <w:color w:val="000000"/>
        </w:rPr>
        <w:t xml:space="preserve">Nous avons évalué la gravité de la maladie associée au VRS pour décrire le profil d’efficacité du </w:t>
      </w:r>
      <w:proofErr w:type="spellStart"/>
      <w:r>
        <w:rPr>
          <w:color w:val="000000"/>
        </w:rPr>
        <w:t>clesrovimab</w:t>
      </w:r>
      <w:proofErr w:type="spellEnd"/>
      <w:r>
        <w:rPr>
          <w:color w:val="000000"/>
        </w:rPr>
        <w:t xml:space="preserve">. L’efficacité augmentait avec la gravité de la maladie et était similaire à 6 mois par rapport à 5 mois selon les critères évalués. Une protection sur 6 mois pourrait permettre une certaine flexibilité dans le calendrier d’administration par rapport au début de la saison du VRS. De plus, la posologie du </w:t>
      </w:r>
      <w:proofErr w:type="spellStart"/>
      <w:r>
        <w:rPr>
          <w:color w:val="000000"/>
        </w:rPr>
        <w:t>clesrovimab</w:t>
      </w:r>
      <w:proofErr w:type="spellEnd"/>
      <w:r>
        <w:rPr>
          <w:rStyle w:val="apple-converted-space"/>
          <w:rFonts w:eastAsiaTheme="majorEastAsia"/>
          <w:color w:val="000000"/>
        </w:rPr>
        <w:t> </w:t>
      </w:r>
      <w:r>
        <w:rPr>
          <w:rStyle w:val="lev"/>
          <w:rFonts w:eastAsiaTheme="majorEastAsia"/>
          <w:color w:val="000000"/>
        </w:rPr>
        <w:t>non basée sur le poids</w:t>
      </w:r>
      <w:r>
        <w:rPr>
          <w:rStyle w:val="apple-converted-space"/>
          <w:rFonts w:eastAsiaTheme="majorEastAsia"/>
          <w:color w:val="000000"/>
        </w:rPr>
        <w:t> </w:t>
      </w:r>
      <w:r>
        <w:rPr>
          <w:color w:val="000000"/>
        </w:rPr>
        <w:t>simplifie l’administration pour les professionnels de santé et peut réduire les erreurs de dosage.28</w:t>
      </w:r>
    </w:p>
    <w:p w14:paraId="14A2C4E3" w14:textId="77777777" w:rsidR="00D02340" w:rsidRDefault="00D02340" w:rsidP="00D02340">
      <w:pPr>
        <w:pStyle w:val="NormalWeb"/>
        <w:rPr>
          <w:color w:val="000000"/>
        </w:rPr>
      </w:pPr>
      <w:r>
        <w:rPr>
          <w:color w:val="000000"/>
        </w:rPr>
        <w:t xml:space="preserve">Nous avons observé une efficacité contre l’hospitalisation pour infection respiratoire basse de toute cause. L’importance du VRS en tant que </w:t>
      </w:r>
      <w:proofErr w:type="spellStart"/>
      <w:r>
        <w:rPr>
          <w:color w:val="000000"/>
        </w:rPr>
        <w:t>copathogène</w:t>
      </w:r>
      <w:proofErr w:type="spellEnd"/>
      <w:r>
        <w:rPr>
          <w:color w:val="000000"/>
        </w:rPr>
        <w:t xml:space="preserve"> dans la pneumonie infantile a été mise en évidence par des données collectées pendant la pandémie de SARS-CoV-2, montrant une réduction significative des hospitalisations pour pneumonie toutes causes et pour bactériémie à pneumocoque associée à la pneumonie lorsque la circulation du VRS était réduite.29 Le VRS et le pneumocoque peuvent interagir via plusieurs mécanismes,30 ce qui suggère que la prévention de l’infection à VRS pourrait réduire davantage l’incidence des infections respiratoires basses au-delà de l’effet direct sur le VRS.</w:t>
      </w:r>
    </w:p>
    <w:p w14:paraId="4367F7C8" w14:textId="77777777" w:rsidR="00D02340" w:rsidRDefault="00D02340" w:rsidP="00D02340">
      <w:pPr>
        <w:pStyle w:val="NormalWeb"/>
        <w:rPr>
          <w:color w:val="000000"/>
        </w:rPr>
      </w:pPr>
      <w:r>
        <w:rPr>
          <w:color w:val="000000"/>
        </w:rPr>
        <w:t xml:space="preserve">Les critères diagnostiques pour l’infection respiratoire basse nécessitant une prise en charge médicale utilisés pour le critère principal étaient basés sur la littérature publiée, des informations issues d’études cliniques, l’avis de panels d’experts sur le VRS et les recommandations de l’Organisation mondiale de la santé et des Centers for </w:t>
      </w:r>
      <w:proofErr w:type="spellStart"/>
      <w:r>
        <w:rPr>
          <w:color w:val="000000"/>
        </w:rPr>
        <w:t>Disease</w:t>
      </w:r>
      <w:proofErr w:type="spellEnd"/>
      <w:r>
        <w:rPr>
          <w:color w:val="000000"/>
        </w:rPr>
        <w:t xml:space="preserve"> Control and Prevention.19-21 En raison de l’absence de critères diagnostiques standardisés pour l’infection respiratoire basse nécessitant une prise en charge médicale, il est difficile de comparer directement l’efficacité rapportée ici avec celle d’autres thérapies prophylactiques. Dans l’essai MELODY sur le </w:t>
      </w:r>
      <w:proofErr w:type="spellStart"/>
      <w:r>
        <w:rPr>
          <w:color w:val="000000"/>
        </w:rPr>
        <w:t>nirsevimab</w:t>
      </w:r>
      <w:proofErr w:type="spellEnd"/>
      <w:r>
        <w:rPr>
          <w:color w:val="000000"/>
        </w:rPr>
        <w:t xml:space="preserve"> chez les nourrissons en bonne santé,5 le critère principal nécessitait deux indicateurs ou plus d’infection respiratoire basse et de gravité de la maladie, ce qui avait donné une efficacité d’environ 74 %. En utilisant des critères similaires dans une analyse post hoc, nous avons estimé une efficacité d’environ</w:t>
      </w:r>
      <w:r>
        <w:rPr>
          <w:rStyle w:val="apple-converted-space"/>
          <w:rFonts w:eastAsiaTheme="majorEastAsia"/>
          <w:color w:val="000000"/>
        </w:rPr>
        <w:t> </w:t>
      </w:r>
      <w:r>
        <w:rPr>
          <w:rStyle w:val="lev"/>
          <w:rFonts w:eastAsiaTheme="majorEastAsia"/>
          <w:color w:val="000000"/>
        </w:rPr>
        <w:t>88 %</w:t>
      </w:r>
      <w:r>
        <w:rPr>
          <w:rStyle w:val="apple-converted-space"/>
          <w:rFonts w:eastAsiaTheme="majorEastAsia"/>
          <w:color w:val="000000"/>
        </w:rPr>
        <w:t> </w:t>
      </w:r>
      <w:r>
        <w:rPr>
          <w:color w:val="000000"/>
        </w:rPr>
        <w:t xml:space="preserve">pour le </w:t>
      </w:r>
      <w:proofErr w:type="spellStart"/>
      <w:r>
        <w:rPr>
          <w:color w:val="000000"/>
        </w:rPr>
        <w:t>clesrovimab</w:t>
      </w:r>
      <w:proofErr w:type="spellEnd"/>
      <w:r>
        <w:rPr>
          <w:color w:val="000000"/>
        </w:rPr>
        <w:t>. Certaines précautions s’imposent pour comparer les résultats des essais, notamment les différences de populations, de dates, de procédures de surveillance et de collecte des symptômes respiratoires.</w:t>
      </w:r>
    </w:p>
    <w:p w14:paraId="069979CB" w14:textId="77777777" w:rsidR="00D02340" w:rsidRDefault="00D02340" w:rsidP="00D02340">
      <w:pPr>
        <w:pStyle w:val="NormalWeb"/>
        <w:rPr>
          <w:color w:val="000000"/>
        </w:rPr>
      </w:pPr>
      <w:r>
        <w:rPr>
          <w:color w:val="000000"/>
        </w:rPr>
        <w:lastRenderedPageBreak/>
        <w:t xml:space="preserve">Parmi les receveurs de </w:t>
      </w:r>
      <w:proofErr w:type="spellStart"/>
      <w:r>
        <w:rPr>
          <w:color w:val="000000"/>
        </w:rPr>
        <w:t>clesrovimab</w:t>
      </w:r>
      <w:proofErr w:type="spellEnd"/>
      <w:r>
        <w:rPr>
          <w:color w:val="000000"/>
        </w:rPr>
        <w:t xml:space="preserve">, sept infections à VRS avec une variation de séquence au site de liaison du </w:t>
      </w:r>
      <w:proofErr w:type="spellStart"/>
      <w:r>
        <w:rPr>
          <w:color w:val="000000"/>
        </w:rPr>
        <w:t>clesrovimab</w:t>
      </w:r>
      <w:proofErr w:type="spellEnd"/>
      <w:r>
        <w:rPr>
          <w:color w:val="000000"/>
        </w:rPr>
        <w:t xml:space="preserve"> en position 446 ont été observées. Auparavant, la séquence G446E identifiée lors de tests in vitro8 présentait une neutralisation réduite par l’anticorps parental de </w:t>
      </w:r>
      <w:proofErr w:type="spellStart"/>
      <w:r>
        <w:rPr>
          <w:color w:val="000000"/>
        </w:rPr>
        <w:t>clesrovimab</w:t>
      </w:r>
      <w:proofErr w:type="spellEnd"/>
      <w:r>
        <w:rPr>
          <w:color w:val="000000"/>
        </w:rPr>
        <w:t>, RB1, comparativement à une souche de référence en laboratoire. Cependant, les courbes de croissance virale suggéraient une</w:t>
      </w:r>
      <w:r>
        <w:rPr>
          <w:rStyle w:val="apple-converted-space"/>
          <w:rFonts w:eastAsiaTheme="majorEastAsia"/>
          <w:color w:val="000000"/>
        </w:rPr>
        <w:t> </w:t>
      </w:r>
      <w:r>
        <w:rPr>
          <w:rStyle w:val="lev"/>
          <w:rFonts w:eastAsiaTheme="majorEastAsia"/>
          <w:color w:val="000000"/>
        </w:rPr>
        <w:t>fitness réduite</w:t>
      </w:r>
      <w:r>
        <w:rPr>
          <w:rStyle w:val="apple-converted-space"/>
          <w:rFonts w:eastAsiaTheme="majorEastAsia"/>
          <w:color w:val="000000"/>
        </w:rPr>
        <w:t> </w:t>
      </w:r>
      <w:r>
        <w:rPr>
          <w:color w:val="000000"/>
        </w:rPr>
        <w:t xml:space="preserve">du virus, ce qui indique que ces virus ont peu de chances de présenter un avantage de croissance en conditions naturelles ou de devenir dominants avec l’utilisation généralisée du </w:t>
      </w:r>
      <w:proofErr w:type="spellStart"/>
      <w:r>
        <w:rPr>
          <w:color w:val="000000"/>
        </w:rPr>
        <w:t>clesrovimab</w:t>
      </w:r>
      <w:proofErr w:type="spellEnd"/>
      <w:r>
        <w:rPr>
          <w:color w:val="000000"/>
        </w:rPr>
        <w:t>. Des études supplémentaires évaluant G446R et G446W in vitro sont en cours.</w:t>
      </w:r>
    </w:p>
    <w:p w14:paraId="48E214D2" w14:textId="77777777" w:rsidR="00D02340" w:rsidRDefault="00D02340" w:rsidP="00D02340">
      <w:pPr>
        <w:pStyle w:val="NormalWeb"/>
        <w:rPr>
          <w:color w:val="000000"/>
        </w:rPr>
      </w:pPr>
      <w:r>
        <w:rPr>
          <w:color w:val="000000"/>
        </w:rPr>
        <w:t xml:space="preserve">Nous avons observé un faible taux d’anticorps anti-médicament durant la période d’efficacité primaire, sans effet apparent sur la pharmacocinétique, les titres d’anticorps neutralisants sériques ou la sécurité. La plupart des anticorps anti-médicament envers le </w:t>
      </w:r>
      <w:proofErr w:type="spellStart"/>
      <w:r>
        <w:rPr>
          <w:color w:val="000000"/>
        </w:rPr>
        <w:t>clesrovimab</w:t>
      </w:r>
      <w:proofErr w:type="spellEnd"/>
      <w:r>
        <w:rPr>
          <w:color w:val="000000"/>
        </w:rPr>
        <w:t xml:space="preserve"> ciblent les substitutions YTE dans la portion </w:t>
      </w:r>
      <w:proofErr w:type="spellStart"/>
      <w:r>
        <w:rPr>
          <w:color w:val="000000"/>
        </w:rPr>
        <w:t>Fc</w:t>
      </w:r>
      <w:proofErr w:type="spellEnd"/>
      <w:r>
        <w:rPr>
          <w:color w:val="000000"/>
        </w:rPr>
        <w:t xml:space="preserve"> de l’anticorps31, situées en dehors du site actif, ce qui peut expliquer pourquoi l’activité neutralisante sérique du </w:t>
      </w:r>
      <w:proofErr w:type="spellStart"/>
      <w:r>
        <w:rPr>
          <w:color w:val="000000"/>
        </w:rPr>
        <w:t>clesrovimab</w:t>
      </w:r>
      <w:proofErr w:type="spellEnd"/>
      <w:r>
        <w:rPr>
          <w:color w:val="000000"/>
        </w:rPr>
        <w:t xml:space="preserve"> n’est pas affectée. Le pourcentage de nourrissons positifs pour les anticorps anti-médicament était plus élevé aux points de mesure ultérieurs qu’au jour 150, comme observé dans notre étude de phase 1b–2a31 et dans l’essai MELODY sur le nirsevimab.5 Une analyse des données de l’étude de phase 1b–2a a montré que le développement des anticorps anti-médicament tardifs était associé à l’exposition au VRS, entraînant à la fois des titres neutralisants anti-VRS et des réponses anti-anticorps.31 Aucun événement indésirable associé aux anticorps anti-médicament, tel qu’une hypersensibilité grave incluant anaphylaxie ou réactions cutanées sévères, n’a été observé.</w:t>
      </w:r>
    </w:p>
    <w:p w14:paraId="24459F59" w14:textId="77777777" w:rsidR="00D02340" w:rsidRDefault="00D02340" w:rsidP="00D02340">
      <w:pPr>
        <w:pStyle w:val="NormalWeb"/>
        <w:rPr>
          <w:color w:val="000000"/>
        </w:rPr>
      </w:pPr>
      <w:r>
        <w:rPr>
          <w:color w:val="000000"/>
        </w:rPr>
        <w:t xml:space="preserve">Globalement, le profil des événements indésirables du </w:t>
      </w:r>
      <w:proofErr w:type="spellStart"/>
      <w:r>
        <w:rPr>
          <w:color w:val="000000"/>
        </w:rPr>
        <w:t>clesrovimab</w:t>
      </w:r>
      <w:proofErr w:type="spellEnd"/>
      <w:r>
        <w:rPr>
          <w:color w:val="000000"/>
        </w:rPr>
        <w:t xml:space="preserve"> était similaire à celui du placebo, les événements les plus fréquents étant des conditions courantes chez les nourrissons du groupe d’âge étudié. Cependant, des événements graves rares peuvent ne pas être détectés dans un essai de cette taille.</w:t>
      </w:r>
    </w:p>
    <w:p w14:paraId="1DFED1C1" w14:textId="77777777" w:rsidR="00D02340" w:rsidRDefault="00D02340" w:rsidP="00D02340">
      <w:pPr>
        <w:pStyle w:val="NormalWeb"/>
        <w:rPr>
          <w:color w:val="000000"/>
        </w:rPr>
      </w:pPr>
      <w:r>
        <w:rPr>
          <w:color w:val="000000"/>
        </w:rPr>
        <w:t xml:space="preserve">Ces résultats montrent que le </w:t>
      </w:r>
      <w:proofErr w:type="spellStart"/>
      <w:r>
        <w:rPr>
          <w:color w:val="000000"/>
        </w:rPr>
        <w:t>clesrovimab</w:t>
      </w:r>
      <w:proofErr w:type="spellEnd"/>
      <w:r>
        <w:rPr>
          <w:color w:val="000000"/>
        </w:rPr>
        <w:t>, administré en</w:t>
      </w:r>
      <w:r>
        <w:rPr>
          <w:rStyle w:val="apple-converted-space"/>
          <w:rFonts w:eastAsiaTheme="majorEastAsia"/>
          <w:color w:val="000000"/>
        </w:rPr>
        <w:t> </w:t>
      </w:r>
      <w:r>
        <w:rPr>
          <w:rStyle w:val="lev"/>
          <w:rFonts w:eastAsiaTheme="majorEastAsia"/>
          <w:color w:val="000000"/>
        </w:rPr>
        <w:t>dose unique de 105 mg</w:t>
      </w:r>
      <w:r>
        <w:rPr>
          <w:rStyle w:val="apple-converted-space"/>
          <w:rFonts w:eastAsiaTheme="majorEastAsia"/>
          <w:color w:val="000000"/>
        </w:rPr>
        <w:t> </w:t>
      </w:r>
      <w:r>
        <w:rPr>
          <w:color w:val="000000"/>
        </w:rPr>
        <w:t>avant ou pendant la première saison du VRS, fournit une protection contre les formes légères, modérées et sévères de la maladie à VRS chez les nourrissons prématurés tardifs et à terme en bonne santé.</w:t>
      </w:r>
    </w:p>
    <w:p w14:paraId="7AD04194" w14:textId="77777777" w:rsidR="00486ADF" w:rsidRDefault="00486ADF" w:rsidP="00486ADF">
      <w:pPr>
        <w:pStyle w:val="NormalWeb"/>
        <w:rPr>
          <w:color w:val="000000"/>
        </w:rPr>
      </w:pPr>
    </w:p>
    <w:p w14:paraId="0A31C24F" w14:textId="77777777" w:rsidR="00B876A9" w:rsidRPr="00662BA3" w:rsidRDefault="00B876A9"/>
    <w:sectPr w:rsidR="00B876A9" w:rsidRPr="00662B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A3"/>
    <w:rsid w:val="000B547D"/>
    <w:rsid w:val="002D7051"/>
    <w:rsid w:val="00322251"/>
    <w:rsid w:val="0034525B"/>
    <w:rsid w:val="00486ADF"/>
    <w:rsid w:val="00662BA3"/>
    <w:rsid w:val="00B876A9"/>
    <w:rsid w:val="00D02340"/>
    <w:rsid w:val="00D302F2"/>
    <w:rsid w:val="00E533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7366B6B"/>
  <w15:chartTrackingRefBased/>
  <w15:docId w15:val="{2BB66AE6-5EE0-BA44-8F21-D0AD64CF2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2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62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62BA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62BA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62BA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62BA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2BA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2BA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2BA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2BA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62BA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62BA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62BA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62BA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62BA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2BA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2BA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2BA3"/>
    <w:rPr>
      <w:rFonts w:eastAsiaTheme="majorEastAsia" w:cstheme="majorBidi"/>
      <w:color w:val="272727" w:themeColor="text1" w:themeTint="D8"/>
    </w:rPr>
  </w:style>
  <w:style w:type="paragraph" w:styleId="Titre">
    <w:name w:val="Title"/>
    <w:basedOn w:val="Normal"/>
    <w:next w:val="Normal"/>
    <w:link w:val="TitreCar"/>
    <w:uiPriority w:val="10"/>
    <w:qFormat/>
    <w:rsid w:val="00662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2B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2BA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2BA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2BA3"/>
    <w:pPr>
      <w:spacing w:before="160"/>
      <w:jc w:val="center"/>
    </w:pPr>
    <w:rPr>
      <w:i/>
      <w:iCs/>
      <w:color w:val="404040" w:themeColor="text1" w:themeTint="BF"/>
    </w:rPr>
  </w:style>
  <w:style w:type="character" w:customStyle="1" w:styleId="CitationCar">
    <w:name w:val="Citation Car"/>
    <w:basedOn w:val="Policepardfaut"/>
    <w:link w:val="Citation"/>
    <w:uiPriority w:val="29"/>
    <w:rsid w:val="00662BA3"/>
    <w:rPr>
      <w:i/>
      <w:iCs/>
      <w:color w:val="404040" w:themeColor="text1" w:themeTint="BF"/>
    </w:rPr>
  </w:style>
  <w:style w:type="paragraph" w:styleId="Paragraphedeliste">
    <w:name w:val="List Paragraph"/>
    <w:basedOn w:val="Normal"/>
    <w:uiPriority w:val="34"/>
    <w:qFormat/>
    <w:rsid w:val="00662BA3"/>
    <w:pPr>
      <w:ind w:left="720"/>
      <w:contextualSpacing/>
    </w:pPr>
  </w:style>
  <w:style w:type="character" w:styleId="Accentuationintense">
    <w:name w:val="Intense Emphasis"/>
    <w:basedOn w:val="Policepardfaut"/>
    <w:uiPriority w:val="21"/>
    <w:qFormat/>
    <w:rsid w:val="00662BA3"/>
    <w:rPr>
      <w:i/>
      <w:iCs/>
      <w:color w:val="0F4761" w:themeColor="accent1" w:themeShade="BF"/>
    </w:rPr>
  </w:style>
  <w:style w:type="paragraph" w:styleId="Citationintense">
    <w:name w:val="Intense Quote"/>
    <w:basedOn w:val="Normal"/>
    <w:next w:val="Normal"/>
    <w:link w:val="CitationintenseCar"/>
    <w:uiPriority w:val="30"/>
    <w:qFormat/>
    <w:rsid w:val="00662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62BA3"/>
    <w:rPr>
      <w:i/>
      <w:iCs/>
      <w:color w:val="0F4761" w:themeColor="accent1" w:themeShade="BF"/>
    </w:rPr>
  </w:style>
  <w:style w:type="character" w:styleId="Rfrenceintense">
    <w:name w:val="Intense Reference"/>
    <w:basedOn w:val="Policepardfaut"/>
    <w:uiPriority w:val="32"/>
    <w:qFormat/>
    <w:rsid w:val="00662BA3"/>
    <w:rPr>
      <w:b/>
      <w:bCs/>
      <w:smallCaps/>
      <w:color w:val="0F4761" w:themeColor="accent1" w:themeShade="BF"/>
      <w:spacing w:val="5"/>
    </w:rPr>
  </w:style>
  <w:style w:type="paragraph" w:styleId="NormalWeb">
    <w:name w:val="Normal (Web)"/>
    <w:basedOn w:val="Normal"/>
    <w:uiPriority w:val="99"/>
    <w:unhideWhenUsed/>
    <w:rsid w:val="00662BA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662BA3"/>
    <w:rPr>
      <w:b/>
      <w:bCs/>
    </w:rPr>
  </w:style>
  <w:style w:type="character" w:customStyle="1" w:styleId="apple-converted-space">
    <w:name w:val="apple-converted-space"/>
    <w:basedOn w:val="Policepardfaut"/>
    <w:rsid w:val="00662BA3"/>
  </w:style>
  <w:style w:type="character" w:styleId="Accentuation">
    <w:name w:val="Emphasis"/>
    <w:basedOn w:val="Policepardfaut"/>
    <w:uiPriority w:val="20"/>
    <w:qFormat/>
    <w:rsid w:val="00662B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9</Pages>
  <Words>4518</Words>
  <Characters>24851</Characters>
  <Application>Microsoft Office Word</Application>
  <DocSecurity>0</DocSecurity>
  <Lines>207</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 Moussa TENGUIANO</dc:creator>
  <cp:keywords/>
  <dc:description/>
  <cp:lastModifiedBy>Saa Moussa TENGUIANO</cp:lastModifiedBy>
  <cp:revision>2</cp:revision>
  <dcterms:created xsi:type="dcterms:W3CDTF">2025-11-13T20:00:00Z</dcterms:created>
  <dcterms:modified xsi:type="dcterms:W3CDTF">2025-11-15T00:30:00Z</dcterms:modified>
</cp:coreProperties>
</file>