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B52E6" w14:textId="77777777" w:rsidR="00F863DF" w:rsidRPr="003B043C" w:rsidRDefault="00F863DF" w:rsidP="00F863DF">
      <w:pPr>
        <w:jc w:val="both"/>
        <w:rPr>
          <w:rFonts w:ascii="Arial" w:hAnsi="Arial" w:cs="Arial"/>
          <w:b/>
          <w:bCs/>
        </w:rPr>
      </w:pPr>
      <w:r w:rsidRPr="003B043C">
        <w:rPr>
          <w:rFonts w:ascii="Arial" w:hAnsi="Arial" w:cs="Arial"/>
          <w:b/>
          <w:bCs/>
        </w:rPr>
        <w:t xml:space="preserve">Comment utiliser un article sur la thérapie ou la prévention </w:t>
      </w:r>
    </w:p>
    <w:p w14:paraId="62EE6349" w14:textId="74219D6D" w:rsidR="00F863DF" w:rsidRPr="00F863DF" w:rsidRDefault="00F863DF" w:rsidP="00F863DF">
      <w:pPr>
        <w:pStyle w:val="Paragraphedeliste"/>
        <w:numPr>
          <w:ilvl w:val="0"/>
          <w:numId w:val="1"/>
        </w:numPr>
        <w:jc w:val="both"/>
        <w:rPr>
          <w:rFonts w:ascii="Arial" w:hAnsi="Arial" w:cs="Arial"/>
        </w:rPr>
      </w:pPr>
      <w:r w:rsidRPr="00F863DF">
        <w:rPr>
          <w:rFonts w:ascii="Arial" w:hAnsi="Arial" w:cs="Arial"/>
        </w:rPr>
        <w:t>Les résultats de l’étude sont-ils valides ?</w:t>
      </w:r>
    </w:p>
    <w:p w14:paraId="74A6E63E" w14:textId="77777777" w:rsidR="00DD1552" w:rsidRPr="00DD1552" w:rsidRDefault="00DD1552" w:rsidP="00DD1552">
      <w:pPr>
        <w:spacing w:after="0" w:line="360" w:lineRule="auto"/>
        <w:jc w:val="both"/>
        <w:outlineLvl w:val="2"/>
        <w:rPr>
          <w:rFonts w:ascii="Arial" w:hAnsi="Arial" w:cs="Arial"/>
          <w:b/>
          <w:bCs/>
        </w:rPr>
      </w:pPr>
      <w:r w:rsidRPr="00DD1552">
        <w:rPr>
          <w:rFonts w:ascii="Arial" w:hAnsi="Arial" w:cs="Arial"/>
          <w:b/>
          <w:bCs/>
        </w:rPr>
        <w:t>Scénario clinique</w:t>
      </w:r>
    </w:p>
    <w:p w14:paraId="41DBC1CC" w14:textId="77777777" w:rsidR="00DD1552" w:rsidRPr="00DD1552" w:rsidRDefault="00DD1552" w:rsidP="00DD1552">
      <w:pPr>
        <w:spacing w:after="0" w:line="360" w:lineRule="auto"/>
        <w:jc w:val="both"/>
        <w:rPr>
          <w:rFonts w:ascii="Arial" w:hAnsi="Arial" w:cs="Arial"/>
        </w:rPr>
      </w:pPr>
      <w:r w:rsidRPr="00DD1552">
        <w:rPr>
          <w:rFonts w:ascii="Arial" w:hAnsi="Arial" w:cs="Arial"/>
        </w:rPr>
        <w:t>Vous êtes interne en médecine interne dans le cadre d’un stage en rhumatologie et vous examinez une patiente de 19 ans atteinte de lupus érythémateux systémique (LES), diagnostiqué sur la base d’une éruption cutanée caractéristique, d’une arthrite et d’une atteinte rénale. Une biopsie rénale a révélé une néphrite proliférative diffuse.</w:t>
      </w:r>
    </w:p>
    <w:p w14:paraId="26A690E5" w14:textId="77777777" w:rsidR="00DD1552" w:rsidRPr="00DD1552" w:rsidRDefault="00DD1552" w:rsidP="00DD1552">
      <w:pPr>
        <w:spacing w:after="0" w:line="360" w:lineRule="auto"/>
        <w:jc w:val="both"/>
        <w:rPr>
          <w:rFonts w:ascii="Arial" w:hAnsi="Arial" w:cs="Arial"/>
        </w:rPr>
      </w:pPr>
      <w:r w:rsidRPr="00DD1552">
        <w:rPr>
          <w:rFonts w:ascii="Arial" w:hAnsi="Arial" w:cs="Arial"/>
        </w:rPr>
        <w:t>Il y a un an, sa créatinine sérique était de 140 µmol/L, il y a six mois de 180 µmol/L, et dans un échantillon sanguin prélevé une semaine avant la consultation, elle atteignait 220 µmol/L.</w:t>
      </w:r>
    </w:p>
    <w:p w14:paraId="5F11563D" w14:textId="77777777" w:rsidR="00DD1552" w:rsidRPr="00DD1552" w:rsidRDefault="00DD1552" w:rsidP="00DD1552">
      <w:pPr>
        <w:spacing w:after="0" w:line="360" w:lineRule="auto"/>
        <w:jc w:val="both"/>
        <w:rPr>
          <w:rFonts w:ascii="Arial" w:hAnsi="Arial" w:cs="Arial"/>
        </w:rPr>
      </w:pPr>
      <w:r w:rsidRPr="00DD1552">
        <w:rPr>
          <w:rFonts w:ascii="Arial" w:hAnsi="Arial" w:cs="Arial"/>
        </w:rPr>
        <w:t>Depuis un an, la patiente prend de la prednisone, et depuis six mois, du cyclophosphamide, tous deux à des doses appropriées. Vous êtes préoccupé par l’augmentation continue du taux de créatinine. Le </w:t>
      </w:r>
      <w:proofErr w:type="spellStart"/>
      <w:r w:rsidRPr="00DD1552">
        <w:rPr>
          <w:rFonts w:ascii="Arial" w:hAnsi="Arial" w:cs="Arial"/>
        </w:rPr>
        <w:t>fellow</w:t>
      </w:r>
      <w:proofErr w:type="spellEnd"/>
      <w:r w:rsidRPr="00DD1552">
        <w:rPr>
          <w:rFonts w:ascii="Arial" w:hAnsi="Arial" w:cs="Arial"/>
        </w:rPr>
        <w:t> en rhumatologie avec qui vous discutez du cas suggère de consulter le service d’hématologie afin d’envisager un essai de plasmaphérèse.</w:t>
      </w:r>
    </w:p>
    <w:p w14:paraId="37265314" w14:textId="77777777" w:rsidR="00DD1552" w:rsidRPr="00DD1552" w:rsidRDefault="00DD1552" w:rsidP="00DD1552">
      <w:pPr>
        <w:spacing w:after="0" w:line="360" w:lineRule="auto"/>
        <w:jc w:val="both"/>
        <w:rPr>
          <w:rFonts w:ascii="Arial" w:hAnsi="Arial" w:cs="Arial"/>
        </w:rPr>
      </w:pPr>
      <w:r w:rsidRPr="00DD1552">
        <w:rPr>
          <w:rFonts w:ascii="Arial" w:hAnsi="Arial" w:cs="Arial"/>
        </w:rPr>
        <w:t xml:space="preserve">Le </w:t>
      </w:r>
      <w:proofErr w:type="spellStart"/>
      <w:r w:rsidRPr="00DD1552">
        <w:rPr>
          <w:rFonts w:ascii="Arial" w:hAnsi="Arial" w:cs="Arial"/>
        </w:rPr>
        <w:t>fellow</w:t>
      </w:r>
      <w:proofErr w:type="spellEnd"/>
      <w:r w:rsidRPr="00DD1552">
        <w:rPr>
          <w:rFonts w:ascii="Arial" w:hAnsi="Arial" w:cs="Arial"/>
        </w:rPr>
        <w:t xml:space="preserve"> explique que la plasmaphérèse est efficace pour réduire le taux d’anticorps responsables de la néphrite et cite plusieurs essais suggérant que ce traitement pourrait être bénéfique. Lorsque vous lui demandez si l’un de ces travaux est un essai clinique randomisé, elle admet ne pas en être certaine.</w:t>
      </w:r>
    </w:p>
    <w:p w14:paraId="4DDD0F33" w14:textId="47ADC02B" w:rsidR="00DD1552" w:rsidRPr="00DD1552" w:rsidRDefault="00DD1552" w:rsidP="007F69EC">
      <w:pPr>
        <w:spacing w:before="240" w:after="0" w:line="360" w:lineRule="auto"/>
        <w:jc w:val="both"/>
        <w:rPr>
          <w:rFonts w:ascii="Arial" w:hAnsi="Arial" w:cs="Arial"/>
        </w:rPr>
      </w:pPr>
      <w:r w:rsidRPr="00DD1552">
        <w:rPr>
          <w:rFonts w:ascii="Arial" w:hAnsi="Arial" w:cs="Arial"/>
        </w:rPr>
        <w:t>Vous soumettez le dilemme au médecin superviseur, qui vous conseille, avant toute décision, de passer en revue la littérature scientifique pertinente. Il recommande de revoir la patiente dans deux semaines, moment auquel vous pourrez lui proposer le traitement le plus approprié.</w:t>
      </w:r>
    </w:p>
    <w:p w14:paraId="349CE60E" w14:textId="77777777" w:rsidR="00DD1552" w:rsidRPr="00DD1552" w:rsidRDefault="00DD1552" w:rsidP="007F69EC">
      <w:pPr>
        <w:spacing w:before="240" w:after="0" w:line="360" w:lineRule="auto"/>
        <w:jc w:val="both"/>
        <w:outlineLvl w:val="2"/>
        <w:rPr>
          <w:rFonts w:ascii="Arial" w:hAnsi="Arial" w:cs="Arial"/>
          <w:b/>
          <w:bCs/>
        </w:rPr>
      </w:pPr>
      <w:r w:rsidRPr="00DD1552">
        <w:rPr>
          <w:rFonts w:ascii="Arial" w:hAnsi="Arial" w:cs="Arial"/>
          <w:b/>
          <w:bCs/>
        </w:rPr>
        <w:t>La recherche</w:t>
      </w:r>
    </w:p>
    <w:p w14:paraId="0232685A" w14:textId="77777777" w:rsidR="00DD1552" w:rsidRPr="00DD1552" w:rsidRDefault="00DD1552" w:rsidP="00DD1552">
      <w:pPr>
        <w:spacing w:after="0" w:line="360" w:lineRule="auto"/>
        <w:jc w:val="both"/>
        <w:rPr>
          <w:rFonts w:ascii="Arial" w:hAnsi="Arial" w:cs="Arial"/>
        </w:rPr>
      </w:pPr>
      <w:r w:rsidRPr="00DD1552">
        <w:rPr>
          <w:rFonts w:ascii="Arial" w:hAnsi="Arial" w:cs="Arial"/>
        </w:rPr>
        <w:t>Vous décidez que l’article le plus utile doit inclure :</w:t>
      </w:r>
    </w:p>
    <w:p w14:paraId="62DA0030" w14:textId="77777777" w:rsidR="00DD1552" w:rsidRPr="00DD1552" w:rsidRDefault="00DD1552" w:rsidP="00DD1552">
      <w:pPr>
        <w:numPr>
          <w:ilvl w:val="0"/>
          <w:numId w:val="2"/>
        </w:numPr>
        <w:spacing w:after="0" w:line="360" w:lineRule="auto"/>
        <w:jc w:val="both"/>
        <w:rPr>
          <w:rFonts w:ascii="Arial" w:hAnsi="Arial" w:cs="Arial"/>
        </w:rPr>
      </w:pPr>
      <w:proofErr w:type="gramStart"/>
      <w:r w:rsidRPr="00DD1552">
        <w:rPr>
          <w:rFonts w:ascii="Arial" w:hAnsi="Arial" w:cs="Arial"/>
        </w:rPr>
        <w:t>des</w:t>
      </w:r>
      <w:proofErr w:type="gramEnd"/>
      <w:r w:rsidRPr="00DD1552">
        <w:rPr>
          <w:rFonts w:ascii="Arial" w:hAnsi="Arial" w:cs="Arial"/>
        </w:rPr>
        <w:t> patients atteints de lupus sévère compromettant la fonction rénale,</w:t>
      </w:r>
    </w:p>
    <w:p w14:paraId="604613D2" w14:textId="77777777" w:rsidR="00DD1552" w:rsidRPr="00DD1552" w:rsidRDefault="00DD1552" w:rsidP="00DD1552">
      <w:pPr>
        <w:numPr>
          <w:ilvl w:val="0"/>
          <w:numId w:val="2"/>
        </w:numPr>
        <w:spacing w:after="0" w:line="360" w:lineRule="auto"/>
        <w:jc w:val="both"/>
        <w:rPr>
          <w:rFonts w:ascii="Arial" w:hAnsi="Arial" w:cs="Arial"/>
        </w:rPr>
      </w:pPr>
      <w:proofErr w:type="gramStart"/>
      <w:r w:rsidRPr="00DD1552">
        <w:rPr>
          <w:rFonts w:ascii="Arial" w:hAnsi="Arial" w:cs="Arial"/>
        </w:rPr>
        <w:t>déjà</w:t>
      </w:r>
      <w:proofErr w:type="gramEnd"/>
      <w:r w:rsidRPr="00DD1552">
        <w:rPr>
          <w:rFonts w:ascii="Arial" w:hAnsi="Arial" w:cs="Arial"/>
        </w:rPr>
        <w:t xml:space="preserve"> sous traitement immunosuppresseur,</w:t>
      </w:r>
    </w:p>
    <w:p w14:paraId="7B733CB9" w14:textId="77777777" w:rsidR="00DD1552" w:rsidRPr="00DD1552" w:rsidRDefault="00DD1552" w:rsidP="00DD1552">
      <w:pPr>
        <w:numPr>
          <w:ilvl w:val="0"/>
          <w:numId w:val="2"/>
        </w:numPr>
        <w:spacing w:after="0" w:line="360" w:lineRule="auto"/>
        <w:jc w:val="both"/>
        <w:rPr>
          <w:rFonts w:ascii="Arial" w:hAnsi="Arial" w:cs="Arial"/>
        </w:rPr>
      </w:pPr>
      <w:proofErr w:type="gramStart"/>
      <w:r w:rsidRPr="00DD1552">
        <w:rPr>
          <w:rFonts w:ascii="Arial" w:hAnsi="Arial" w:cs="Arial"/>
        </w:rPr>
        <w:t>une</w:t>
      </w:r>
      <w:proofErr w:type="gramEnd"/>
      <w:r w:rsidRPr="00DD1552">
        <w:rPr>
          <w:rFonts w:ascii="Arial" w:hAnsi="Arial" w:cs="Arial"/>
        </w:rPr>
        <w:t> comparaison de la plasmaphérèse à une prise en charge témoin,</w:t>
      </w:r>
    </w:p>
    <w:p w14:paraId="0EED7275" w14:textId="77777777" w:rsidR="00DD1552" w:rsidRPr="00DD1552" w:rsidRDefault="00DD1552" w:rsidP="00DD1552">
      <w:pPr>
        <w:numPr>
          <w:ilvl w:val="0"/>
          <w:numId w:val="2"/>
        </w:numPr>
        <w:spacing w:after="0" w:line="360" w:lineRule="auto"/>
        <w:jc w:val="both"/>
        <w:rPr>
          <w:rFonts w:ascii="Arial" w:hAnsi="Arial" w:cs="Arial"/>
        </w:rPr>
      </w:pPr>
      <w:proofErr w:type="gramStart"/>
      <w:r w:rsidRPr="00DD1552">
        <w:rPr>
          <w:rFonts w:ascii="Arial" w:hAnsi="Arial" w:cs="Arial"/>
        </w:rPr>
        <w:t>et</w:t>
      </w:r>
      <w:proofErr w:type="gramEnd"/>
      <w:r w:rsidRPr="00DD1552">
        <w:rPr>
          <w:rFonts w:ascii="Arial" w:hAnsi="Arial" w:cs="Arial"/>
        </w:rPr>
        <w:t xml:space="preserve"> une randomisation des patients pour recevoir ou non la plasmaphérèse.</w:t>
      </w:r>
      <w:r w:rsidRPr="00DD1552">
        <w:rPr>
          <w:rFonts w:ascii="Arial" w:hAnsi="Arial" w:cs="Arial"/>
        </w:rPr>
        <w:br/>
        <w:t>Enfin, l’article doit rapporter des résultats cliniquement pertinents, tels qu’une détérioration de la fonction rénale.</w:t>
      </w:r>
    </w:p>
    <w:p w14:paraId="464C9F89" w14:textId="77777777" w:rsidR="00DD1552" w:rsidRPr="00DD1552" w:rsidRDefault="00DD1552" w:rsidP="00DD1552">
      <w:pPr>
        <w:spacing w:after="0" w:line="360" w:lineRule="auto"/>
        <w:jc w:val="both"/>
        <w:rPr>
          <w:rFonts w:ascii="Arial" w:hAnsi="Arial" w:cs="Arial"/>
        </w:rPr>
      </w:pPr>
      <w:r w:rsidRPr="00DD1552">
        <w:rPr>
          <w:rFonts w:ascii="Arial" w:hAnsi="Arial" w:cs="Arial"/>
        </w:rPr>
        <w:lastRenderedPageBreak/>
        <w:t>Vous utilisez le logiciel </w:t>
      </w:r>
      <w:proofErr w:type="spellStart"/>
      <w:r w:rsidRPr="00DD1552">
        <w:rPr>
          <w:rFonts w:ascii="Arial" w:hAnsi="Arial" w:cs="Arial"/>
        </w:rPr>
        <w:t>Grateful</w:t>
      </w:r>
      <w:proofErr w:type="spellEnd"/>
      <w:r w:rsidRPr="00DD1552">
        <w:rPr>
          <w:rFonts w:ascii="Arial" w:hAnsi="Arial" w:cs="Arial"/>
        </w:rPr>
        <w:t xml:space="preserve"> Med pour effectuer votre recherche. Le programme fournit une liste de Mots-clés MeSH (</w:t>
      </w:r>
      <w:proofErr w:type="spellStart"/>
      <w:r w:rsidRPr="00DD1552">
        <w:rPr>
          <w:rFonts w:ascii="Arial" w:hAnsi="Arial" w:cs="Arial"/>
        </w:rPr>
        <w:t>Medical</w:t>
      </w:r>
      <w:proofErr w:type="spellEnd"/>
      <w:r w:rsidRPr="00DD1552">
        <w:rPr>
          <w:rFonts w:ascii="Arial" w:hAnsi="Arial" w:cs="Arial"/>
        </w:rPr>
        <w:t xml:space="preserve"> </w:t>
      </w:r>
      <w:proofErr w:type="spellStart"/>
      <w:r w:rsidRPr="00DD1552">
        <w:rPr>
          <w:rFonts w:ascii="Arial" w:hAnsi="Arial" w:cs="Arial"/>
        </w:rPr>
        <w:t>Subject</w:t>
      </w:r>
      <w:proofErr w:type="spellEnd"/>
      <w:r w:rsidRPr="00DD1552">
        <w:rPr>
          <w:rFonts w:ascii="Arial" w:hAnsi="Arial" w:cs="Arial"/>
        </w:rPr>
        <w:t xml:space="preserve"> </w:t>
      </w:r>
      <w:proofErr w:type="spellStart"/>
      <w:r w:rsidRPr="00DD1552">
        <w:rPr>
          <w:rFonts w:ascii="Arial" w:hAnsi="Arial" w:cs="Arial"/>
        </w:rPr>
        <w:t>Headings</w:t>
      </w:r>
      <w:proofErr w:type="spellEnd"/>
      <w:r w:rsidRPr="00DD1552">
        <w:rPr>
          <w:rFonts w:ascii="Arial" w:hAnsi="Arial" w:cs="Arial"/>
        </w:rPr>
        <w:t xml:space="preserve">), et vous identifiez rapidement « lupus </w:t>
      </w:r>
      <w:proofErr w:type="spellStart"/>
      <w:r w:rsidRPr="00DD1552">
        <w:rPr>
          <w:rFonts w:ascii="Arial" w:hAnsi="Arial" w:cs="Arial"/>
        </w:rPr>
        <w:t>nephritis</w:t>
      </w:r>
      <w:proofErr w:type="spellEnd"/>
      <w:r w:rsidRPr="00DD1552">
        <w:rPr>
          <w:rFonts w:ascii="Arial" w:hAnsi="Arial" w:cs="Arial"/>
        </w:rPr>
        <w:t> » et « </w:t>
      </w:r>
      <w:proofErr w:type="spellStart"/>
      <w:r w:rsidRPr="00DD1552">
        <w:rPr>
          <w:rFonts w:ascii="Arial" w:hAnsi="Arial" w:cs="Arial"/>
        </w:rPr>
        <w:t>plasmapheresis</w:t>
      </w:r>
      <w:proofErr w:type="spellEnd"/>
      <w:r w:rsidRPr="00DD1552">
        <w:rPr>
          <w:rFonts w:ascii="Arial" w:hAnsi="Arial" w:cs="Arial"/>
        </w:rPr>
        <w:t> » comme termes pertinents. Vous ajoutez un terme méthodologique limitant les résultats aux études de haute qualité, à savoir « </w:t>
      </w:r>
      <w:proofErr w:type="spellStart"/>
      <w:r w:rsidRPr="00DD1552">
        <w:rPr>
          <w:rFonts w:ascii="Arial" w:hAnsi="Arial" w:cs="Arial"/>
        </w:rPr>
        <w:t>randomized</w:t>
      </w:r>
      <w:proofErr w:type="spellEnd"/>
      <w:r w:rsidRPr="00DD1552">
        <w:rPr>
          <w:rFonts w:ascii="Arial" w:hAnsi="Arial" w:cs="Arial"/>
        </w:rPr>
        <w:t xml:space="preserve"> </w:t>
      </w:r>
      <w:proofErr w:type="spellStart"/>
      <w:r w:rsidRPr="00DD1552">
        <w:rPr>
          <w:rFonts w:ascii="Arial" w:hAnsi="Arial" w:cs="Arial"/>
        </w:rPr>
        <w:t>controlled</w:t>
      </w:r>
      <w:proofErr w:type="spellEnd"/>
      <w:r w:rsidRPr="00DD1552">
        <w:rPr>
          <w:rFonts w:ascii="Arial" w:hAnsi="Arial" w:cs="Arial"/>
        </w:rPr>
        <w:t xml:space="preserve"> trial (PT) » (PT signifie publication type).</w:t>
      </w:r>
    </w:p>
    <w:p w14:paraId="04912AFB" w14:textId="77777777" w:rsidR="00DD1552" w:rsidRPr="00DD1552" w:rsidRDefault="00DD1552" w:rsidP="00DD1552">
      <w:pPr>
        <w:spacing w:after="0" w:line="360" w:lineRule="auto"/>
        <w:jc w:val="both"/>
        <w:rPr>
          <w:rFonts w:ascii="Arial" w:hAnsi="Arial" w:cs="Arial"/>
        </w:rPr>
      </w:pPr>
      <w:r w:rsidRPr="00DD1552">
        <w:rPr>
          <w:rFonts w:ascii="Arial" w:hAnsi="Arial" w:cs="Arial"/>
        </w:rPr>
        <w:t>La recherche, restreinte aux articles en anglais, donne trois résultats :</w:t>
      </w:r>
    </w:p>
    <w:p w14:paraId="502A9B5A" w14:textId="77777777" w:rsidR="00DD1552" w:rsidRPr="00DD1552" w:rsidRDefault="00DD1552" w:rsidP="00DD1552">
      <w:pPr>
        <w:numPr>
          <w:ilvl w:val="0"/>
          <w:numId w:val="3"/>
        </w:numPr>
        <w:spacing w:after="0" w:line="360" w:lineRule="auto"/>
        <w:jc w:val="both"/>
        <w:rPr>
          <w:rFonts w:ascii="Arial" w:hAnsi="Arial" w:cs="Arial"/>
        </w:rPr>
      </w:pPr>
      <w:r w:rsidRPr="00DD1552">
        <w:rPr>
          <w:rFonts w:ascii="Arial" w:hAnsi="Arial" w:cs="Arial"/>
        </w:rPr>
        <w:t>Un essai sur la prednisone et le cyclophosphamide,</w:t>
      </w:r>
    </w:p>
    <w:p w14:paraId="0D96A011" w14:textId="77777777" w:rsidR="00DD1552" w:rsidRPr="00DD1552" w:rsidRDefault="00DD1552" w:rsidP="00DD1552">
      <w:pPr>
        <w:numPr>
          <w:ilvl w:val="0"/>
          <w:numId w:val="3"/>
        </w:numPr>
        <w:spacing w:after="0" w:line="360" w:lineRule="auto"/>
        <w:jc w:val="both"/>
        <w:rPr>
          <w:rFonts w:ascii="Arial" w:hAnsi="Arial" w:cs="Arial"/>
        </w:rPr>
      </w:pPr>
      <w:r w:rsidRPr="00DD1552">
        <w:rPr>
          <w:rFonts w:ascii="Arial" w:hAnsi="Arial" w:cs="Arial"/>
        </w:rPr>
        <w:t>Une étude examinant l’effet de la plasmaphérèse sur le risque d’infection,</w:t>
      </w:r>
    </w:p>
    <w:p w14:paraId="668773E1" w14:textId="77777777" w:rsidR="00DD1552" w:rsidRPr="00DD1552" w:rsidRDefault="00DD1552" w:rsidP="00DD1552">
      <w:pPr>
        <w:numPr>
          <w:ilvl w:val="0"/>
          <w:numId w:val="3"/>
        </w:numPr>
        <w:spacing w:after="0" w:line="360" w:lineRule="auto"/>
        <w:jc w:val="both"/>
        <w:rPr>
          <w:rFonts w:ascii="Arial" w:hAnsi="Arial" w:cs="Arial"/>
        </w:rPr>
      </w:pPr>
      <w:r w:rsidRPr="00DD1552">
        <w:rPr>
          <w:rFonts w:ascii="Arial" w:hAnsi="Arial" w:cs="Arial"/>
        </w:rPr>
        <w:t>Et enfin, une étude décrite comme un essai contrôlé de la plasmaphérèse, qui semble la plus pertinente pour répondre à votre question sur l’efficacité de la plasmaphérèse à améliorer les résultats cliniques importants.</w:t>
      </w:r>
    </w:p>
    <w:p w14:paraId="7575786B" w14:textId="77777777" w:rsidR="00DD1552" w:rsidRPr="00DD1552" w:rsidRDefault="00DD1552" w:rsidP="00DD1552">
      <w:pPr>
        <w:spacing w:after="0" w:line="360" w:lineRule="auto"/>
        <w:jc w:val="both"/>
        <w:rPr>
          <w:rFonts w:ascii="Arial" w:hAnsi="Arial" w:cs="Arial"/>
        </w:rPr>
      </w:pPr>
      <w:r w:rsidRPr="00DD1552">
        <w:rPr>
          <w:rFonts w:ascii="Arial" w:hAnsi="Arial" w:cs="Arial"/>
        </w:rPr>
        <w:t>L’article en question décrit un essai randomisé dans lequel 46 patients ont reçu le traitement standard associant prednisone et cyclophosphamide, tandis que 40 autres patients ont reçu ce traitement standard plus la plasmaphérèse.</w:t>
      </w:r>
    </w:p>
    <w:p w14:paraId="3699A07A" w14:textId="77777777" w:rsidR="00DD1552" w:rsidRPr="00DD1552" w:rsidRDefault="00DD1552" w:rsidP="00DD1552">
      <w:pPr>
        <w:spacing w:after="0" w:line="360" w:lineRule="auto"/>
        <w:jc w:val="both"/>
        <w:rPr>
          <w:rFonts w:ascii="Arial" w:hAnsi="Arial" w:cs="Arial"/>
        </w:rPr>
      </w:pPr>
      <w:r w:rsidRPr="00DD1552">
        <w:rPr>
          <w:rFonts w:ascii="Arial" w:hAnsi="Arial" w:cs="Arial"/>
        </w:rPr>
        <w:t>Bien que le taux d’anticorps ait diminué chez les patients traités par plasmaphérèse, on a observé une tendance à une mortalité plus élevée (20 % contre 13 %) et une incidence plus grande d’insuffisance rénale (25 % contre 17 %) dans le groupe plasmaphérèse.</w:t>
      </w:r>
    </w:p>
    <w:p w14:paraId="3EAE28AF" w14:textId="77777777" w:rsidR="00DD1552" w:rsidRPr="00DD1552" w:rsidRDefault="00DD1552" w:rsidP="00DD1552">
      <w:pPr>
        <w:spacing w:after="0" w:line="360" w:lineRule="auto"/>
        <w:jc w:val="both"/>
        <w:rPr>
          <w:rFonts w:ascii="Arial" w:hAnsi="Arial" w:cs="Arial"/>
        </w:rPr>
      </w:pPr>
      <w:r w:rsidRPr="00DD1552">
        <w:rPr>
          <w:rFonts w:ascii="Arial" w:hAnsi="Arial" w:cs="Arial"/>
        </w:rPr>
        <w:t>Ces résultats semblent trancher la question : il n’y a pas lieu de proposer la plasmaphérèse à votre patiente.</w:t>
      </w:r>
    </w:p>
    <w:p w14:paraId="1B3FA820" w14:textId="4655641F" w:rsidR="00F863DF" w:rsidRDefault="00DD1552" w:rsidP="00201B00">
      <w:pPr>
        <w:spacing w:after="0" w:line="360" w:lineRule="auto"/>
        <w:jc w:val="both"/>
        <w:rPr>
          <w:rFonts w:ascii="Arial" w:hAnsi="Arial" w:cs="Arial"/>
        </w:rPr>
      </w:pPr>
      <w:r w:rsidRPr="00DD1552">
        <w:rPr>
          <w:rFonts w:ascii="Arial" w:hAnsi="Arial" w:cs="Arial"/>
        </w:rPr>
        <w:t>Cependant, vous vous interrogez : cette étude pourrait-elle avoir conduit à des résultats inexacts ou biaisés ?</w:t>
      </w:r>
    </w:p>
    <w:p w14:paraId="3B861988" w14:textId="77777777" w:rsidR="00201B00" w:rsidRPr="00201B00" w:rsidRDefault="00201B00" w:rsidP="00201B00">
      <w:pPr>
        <w:spacing w:before="100" w:beforeAutospacing="1" w:after="100" w:afterAutospacing="1" w:line="360" w:lineRule="auto"/>
        <w:outlineLvl w:val="2"/>
        <w:rPr>
          <w:rFonts w:ascii="Arial" w:hAnsi="Arial" w:cs="Arial"/>
        </w:rPr>
      </w:pPr>
      <w:r w:rsidRPr="00201B00">
        <w:rPr>
          <w:rFonts w:ascii="Arial" w:hAnsi="Arial" w:cs="Arial"/>
        </w:rPr>
        <w:t>INTRODUCTION</w:t>
      </w:r>
    </w:p>
    <w:p w14:paraId="228E4A41" w14:textId="77777777"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Dans le premier article de cette série, nous avons présenté un cadre conceptuel permettant d’utiliser la littérature médicale pour résoudre les problèmes cliniques des patients et améliorer la qualité des soins.</w:t>
      </w:r>
    </w:p>
    <w:p w14:paraId="2CCFFA16" w14:textId="029AF9D5" w:rsidR="00201B00" w:rsidRPr="00201B00" w:rsidRDefault="00201B00" w:rsidP="008A759D">
      <w:pPr>
        <w:spacing w:before="100" w:beforeAutospacing="1" w:after="100" w:afterAutospacing="1" w:line="360" w:lineRule="auto"/>
        <w:rPr>
          <w:rFonts w:ascii="Arial" w:hAnsi="Arial" w:cs="Arial"/>
        </w:rPr>
      </w:pPr>
      <w:r w:rsidRPr="00201B00">
        <w:rPr>
          <w:rFonts w:ascii="Arial" w:hAnsi="Arial" w:cs="Arial"/>
        </w:rPr>
        <w:t>Ce deuxième article inaugure la discussion sur la manière d’utiliser un rapport traitant d’un sujet de thérapie ou de prévention.</w:t>
      </w:r>
      <w:r w:rsidRPr="00201B00">
        <w:rPr>
          <w:rFonts w:ascii="Arial" w:hAnsi="Arial" w:cs="Arial"/>
        </w:rPr>
        <w:br/>
        <w:t xml:space="preserve">Le terme « thérapie » sera ici pris au sens large. Comme nous l’avons déjà mentionné ailleurs, les mêmes principes peuvent s’appliquer aussi bien à l’évaluation des interventions thérapeutiques (visant à réduire les symptômes ou guérir une </w:t>
      </w:r>
      <w:r w:rsidRPr="00201B00">
        <w:rPr>
          <w:rFonts w:ascii="Arial" w:hAnsi="Arial" w:cs="Arial"/>
        </w:rPr>
        <w:lastRenderedPageBreak/>
        <w:t>maladie) qu’à l’évaluation des interventions préventives (visant à diminuer le risque d’apparition d’une maladie ou de ses complications)</w:t>
      </w:r>
    </w:p>
    <w:p w14:paraId="41B9F49C" w14:textId="77777777" w:rsidR="00201B00" w:rsidRPr="00201B00" w:rsidRDefault="00201B00" w:rsidP="00201B00">
      <w:pPr>
        <w:spacing w:before="100" w:beforeAutospacing="1" w:after="100" w:afterAutospacing="1" w:line="360" w:lineRule="auto"/>
        <w:outlineLvl w:val="2"/>
        <w:rPr>
          <w:rFonts w:ascii="Arial" w:hAnsi="Arial" w:cs="Arial"/>
        </w:rPr>
      </w:pPr>
      <w:r w:rsidRPr="00201B00">
        <w:rPr>
          <w:rFonts w:ascii="Arial" w:hAnsi="Arial" w:cs="Arial"/>
        </w:rPr>
        <w:t>LE CADRE D’ANALYSE</w:t>
      </w:r>
    </w:p>
    <w:p w14:paraId="15E9DD9D" w14:textId="77777777"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Comme pour les articles traitant d’autres questions cliniques, on peut poser trois questions fondamentales à propos d’un article sur une thérapie :</w:t>
      </w:r>
    </w:p>
    <w:p w14:paraId="47E79AD0" w14:textId="77777777" w:rsidR="00201B00" w:rsidRPr="00201B00" w:rsidRDefault="00201B00" w:rsidP="00201B00">
      <w:pPr>
        <w:numPr>
          <w:ilvl w:val="0"/>
          <w:numId w:val="4"/>
        </w:numPr>
        <w:spacing w:before="100" w:beforeAutospacing="1" w:after="100" w:afterAutospacing="1" w:line="360" w:lineRule="auto"/>
        <w:rPr>
          <w:rFonts w:ascii="Arial" w:hAnsi="Arial" w:cs="Arial"/>
        </w:rPr>
      </w:pPr>
      <w:r w:rsidRPr="00201B00">
        <w:rPr>
          <w:rFonts w:ascii="Arial" w:hAnsi="Arial" w:cs="Arial"/>
        </w:rPr>
        <w:t>Les résultats de l’étude sont-ils valides ?</w:t>
      </w:r>
      <w:r w:rsidRPr="00201B00">
        <w:rPr>
          <w:rFonts w:ascii="Arial" w:hAnsi="Arial" w:cs="Arial"/>
        </w:rPr>
        <w:br/>
        <w:t>Cette question concerne la validité ou la précision des résultats et cherche à déterminer si l’effet thérapeutique rapporté reflète réellement la direction et l’ampleur véritables de l’effet du traitement.</w:t>
      </w:r>
      <w:r w:rsidRPr="00201B00">
        <w:rPr>
          <w:rFonts w:ascii="Arial" w:hAnsi="Arial" w:cs="Arial"/>
        </w:rPr>
        <w:br/>
        <w:t>En d’autres termes : les résultats constituent-ils une estimation non biaisée de l’effet du traitement, ou ont-ils été influencés de manière systématique conduisant à une conclusion erronée ?</w:t>
      </w:r>
    </w:p>
    <w:p w14:paraId="1B2B020B" w14:textId="77777777" w:rsidR="00201B00" w:rsidRPr="00201B00" w:rsidRDefault="00201B00" w:rsidP="00201B00">
      <w:pPr>
        <w:numPr>
          <w:ilvl w:val="0"/>
          <w:numId w:val="4"/>
        </w:numPr>
        <w:spacing w:before="100" w:beforeAutospacing="1" w:after="100" w:afterAutospacing="1" w:line="360" w:lineRule="auto"/>
        <w:rPr>
          <w:rFonts w:ascii="Arial" w:hAnsi="Arial" w:cs="Arial"/>
        </w:rPr>
      </w:pPr>
      <w:r w:rsidRPr="00201B00">
        <w:rPr>
          <w:rFonts w:ascii="Arial" w:hAnsi="Arial" w:cs="Arial"/>
        </w:rPr>
        <w:t>Quels sont les résultats ?</w:t>
      </w:r>
      <w:r w:rsidRPr="00201B00">
        <w:rPr>
          <w:rFonts w:ascii="Arial" w:hAnsi="Arial" w:cs="Arial"/>
        </w:rPr>
        <w:br/>
        <w:t>Si les résultats sont valides et si l’étude fournit une estimation fiable de l’effet du traitement, il faut ensuite examiner la taille et la précision de cet effet.</w:t>
      </w:r>
      <w:r w:rsidRPr="00201B00">
        <w:rPr>
          <w:rFonts w:ascii="Arial" w:hAnsi="Arial" w:cs="Arial"/>
        </w:rPr>
        <w:br/>
        <w:t>La meilleure estimation provient des résultats de l’étude elle-même ; la précision est d’autant plus grande que l’étude porte sur un échantillon de grande taille.</w:t>
      </w:r>
    </w:p>
    <w:p w14:paraId="5BFA29B9" w14:textId="77777777" w:rsidR="00201B00" w:rsidRPr="00201B00" w:rsidRDefault="00201B00" w:rsidP="00201B00">
      <w:pPr>
        <w:numPr>
          <w:ilvl w:val="0"/>
          <w:numId w:val="4"/>
        </w:numPr>
        <w:spacing w:before="100" w:beforeAutospacing="1" w:after="100" w:afterAutospacing="1" w:line="360" w:lineRule="auto"/>
        <w:rPr>
          <w:rFonts w:ascii="Arial" w:hAnsi="Arial" w:cs="Arial"/>
        </w:rPr>
      </w:pPr>
      <w:r w:rsidRPr="00201B00">
        <w:rPr>
          <w:rFonts w:ascii="Arial" w:hAnsi="Arial" w:cs="Arial"/>
        </w:rPr>
        <w:t>Ces résultats m’aideront-ils à soigner mes patients ?</w:t>
      </w:r>
      <w:r w:rsidRPr="00201B00">
        <w:rPr>
          <w:rFonts w:ascii="Arial" w:hAnsi="Arial" w:cs="Arial"/>
        </w:rPr>
        <w:br/>
        <w:t>Cette question comporte deux volets :</w:t>
      </w:r>
    </w:p>
    <w:p w14:paraId="271F9439" w14:textId="77777777" w:rsidR="00201B00" w:rsidRPr="00201B00" w:rsidRDefault="00201B00" w:rsidP="00201B00">
      <w:pPr>
        <w:numPr>
          <w:ilvl w:val="1"/>
          <w:numId w:val="4"/>
        </w:numPr>
        <w:spacing w:before="100" w:beforeAutospacing="1" w:after="100" w:afterAutospacing="1" w:line="360" w:lineRule="auto"/>
        <w:rPr>
          <w:rFonts w:ascii="Arial" w:hAnsi="Arial" w:cs="Arial"/>
        </w:rPr>
      </w:pPr>
      <w:r w:rsidRPr="00201B00">
        <w:rPr>
          <w:rFonts w:ascii="Arial" w:hAnsi="Arial" w:cs="Arial"/>
        </w:rPr>
        <w:t>D’abord, les résultats sont-ils applicables à votre patient ? Il faut se montrer prudent si votre patient diffère considérablement de ceux de l’essai, ou si le résultat amélioré n’est pas pertinent pour lui.</w:t>
      </w:r>
    </w:p>
    <w:p w14:paraId="01860569" w14:textId="77777777" w:rsidR="00201B00" w:rsidRPr="00201B00" w:rsidRDefault="00201B00" w:rsidP="00201B00">
      <w:pPr>
        <w:numPr>
          <w:ilvl w:val="1"/>
          <w:numId w:val="4"/>
        </w:numPr>
        <w:spacing w:before="100" w:beforeAutospacing="1" w:after="100" w:afterAutospacing="1" w:line="360" w:lineRule="auto"/>
        <w:rPr>
          <w:rFonts w:ascii="Arial" w:hAnsi="Arial" w:cs="Arial"/>
        </w:rPr>
      </w:pPr>
      <w:r w:rsidRPr="00201B00">
        <w:rPr>
          <w:rFonts w:ascii="Arial" w:hAnsi="Arial" w:cs="Arial"/>
        </w:rPr>
        <w:t>Ensuite, si les résultats sont applicables, quel est l’impact global du traitement ?</w:t>
      </w:r>
      <w:r w:rsidRPr="00201B00">
        <w:rPr>
          <w:rFonts w:ascii="Arial" w:hAnsi="Arial" w:cs="Arial"/>
        </w:rPr>
        <w:br/>
        <w:t>Cet impact dépend à la fois des bénéfices et des risques (effets secondaires ou toxiques), mais aussi des conséquences de l’absence de traitement.</w:t>
      </w:r>
      <w:r w:rsidRPr="00201B00">
        <w:rPr>
          <w:rFonts w:ascii="Arial" w:hAnsi="Arial" w:cs="Arial"/>
        </w:rPr>
        <w:br/>
        <w:t>Ainsi, même un traitement efficace peut être évité lorsque le pronostic naturel du patient est déjà favorable, surtout si le traitement comporte des effets indésirables importants.</w:t>
      </w:r>
    </w:p>
    <w:p w14:paraId="098DC014" w14:textId="233FA463"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lastRenderedPageBreak/>
        <w:t>Nous résumons cette approche d’évaluation et d’application des résultats des articles sur l’efficacité thérapeutique dans un tableau (non inclus ici).</w:t>
      </w:r>
      <w:r w:rsidRPr="00201B00">
        <w:rPr>
          <w:rFonts w:ascii="Arial" w:hAnsi="Arial" w:cs="Arial"/>
        </w:rPr>
        <w:br/>
        <w:t>Les internes et les médecins praticiens ont besoin d’une méthode à la fois rapide et complète.</w:t>
      </w:r>
      <w:r w:rsidRPr="00201B00">
        <w:rPr>
          <w:rFonts w:ascii="Arial" w:hAnsi="Arial" w:cs="Arial"/>
        </w:rPr>
        <w:br/>
        <w:t>C’est pourquoi nous distinguons les critères de validité primaires — ceux que le lecteur peut appliquer rapidement — et les critères secondaires, réservés à des articles plus approfondis et aux lecteurs disposant de plus de temps pour une revue détaillée.</w:t>
      </w:r>
    </w:p>
    <w:p w14:paraId="1E0E82BE" w14:textId="77777777" w:rsidR="00201B00" w:rsidRPr="00201B00" w:rsidRDefault="00201B00" w:rsidP="00201B00">
      <w:pPr>
        <w:spacing w:before="100" w:beforeAutospacing="1" w:after="100" w:afterAutospacing="1" w:line="360" w:lineRule="auto"/>
        <w:outlineLvl w:val="2"/>
        <w:rPr>
          <w:rFonts w:ascii="Arial" w:hAnsi="Arial" w:cs="Arial"/>
        </w:rPr>
      </w:pPr>
      <w:r w:rsidRPr="00201B00">
        <w:rPr>
          <w:rFonts w:ascii="Arial" w:hAnsi="Arial" w:cs="Arial"/>
        </w:rPr>
        <w:t>LES RÉSULTATS DE CET ARTICLE SONT-ILS VALIDES ?</w:t>
      </w:r>
    </w:p>
    <w:p w14:paraId="2DBA6916" w14:textId="77777777" w:rsidR="00201B00" w:rsidRPr="00201B00" w:rsidRDefault="00201B00" w:rsidP="00201B00">
      <w:pPr>
        <w:spacing w:before="100" w:beforeAutospacing="1" w:after="100" w:afterAutospacing="1" w:line="360" w:lineRule="auto"/>
        <w:outlineLvl w:val="3"/>
        <w:rPr>
          <w:rFonts w:ascii="Arial" w:hAnsi="Arial" w:cs="Arial"/>
        </w:rPr>
      </w:pPr>
      <w:r w:rsidRPr="00201B00">
        <w:rPr>
          <w:rFonts w:ascii="Arial" w:hAnsi="Arial" w:cs="Arial"/>
        </w:rPr>
        <w:t>Guides primaires</w:t>
      </w:r>
    </w:p>
    <w:p w14:paraId="635E39B5" w14:textId="77777777" w:rsidR="00201B00" w:rsidRPr="00201B00" w:rsidRDefault="00201B00" w:rsidP="00201B00">
      <w:pPr>
        <w:spacing w:before="100" w:beforeAutospacing="1" w:after="100" w:afterAutospacing="1" w:line="360" w:lineRule="auto"/>
        <w:outlineLvl w:val="4"/>
        <w:rPr>
          <w:rFonts w:ascii="Arial" w:hAnsi="Arial" w:cs="Arial"/>
        </w:rPr>
      </w:pPr>
      <w:r w:rsidRPr="00201B00">
        <w:rPr>
          <w:rFonts w:ascii="Arial" w:hAnsi="Arial" w:cs="Arial"/>
        </w:rPr>
        <w:t>1. La répartition des patients dans les groupes de traitement a-t-elle été randomisée ?</w:t>
      </w:r>
    </w:p>
    <w:p w14:paraId="30D8CC9A" w14:textId="77777777"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 xml:space="preserve">Dans les années 1970 et au début des années 1980, les chirurgiens ont pratiqué de plus en plus souvent des pontages </w:t>
      </w:r>
      <w:proofErr w:type="spellStart"/>
      <w:r w:rsidRPr="00201B00">
        <w:rPr>
          <w:rFonts w:ascii="Arial" w:hAnsi="Arial" w:cs="Arial"/>
        </w:rPr>
        <w:t>extracrâniens</w:t>
      </w:r>
      <w:proofErr w:type="spellEnd"/>
      <w:r w:rsidRPr="00201B00">
        <w:rPr>
          <w:rFonts w:ascii="Arial" w:hAnsi="Arial" w:cs="Arial"/>
        </w:rPr>
        <w:t>-intracrâniens (anastomose d’une branche de la carotide externe — l’artère temporale superficielle — à une branche de la carotide interne — l’artère cérébrale moyenne).</w:t>
      </w:r>
      <w:r w:rsidRPr="00201B00">
        <w:rPr>
          <w:rFonts w:ascii="Arial" w:hAnsi="Arial" w:cs="Arial"/>
        </w:rPr>
        <w:br/>
        <w:t xml:space="preserve">Ils pensaient que cette intervention prévenait les accidents vasculaires cérébraux chez les patients atteints d’une maladie </w:t>
      </w:r>
      <w:proofErr w:type="spellStart"/>
      <w:r w:rsidRPr="00201B00">
        <w:rPr>
          <w:rFonts w:ascii="Arial" w:hAnsi="Arial" w:cs="Arial"/>
        </w:rPr>
        <w:t>cérébrovasculaire</w:t>
      </w:r>
      <w:proofErr w:type="spellEnd"/>
      <w:r w:rsidRPr="00201B00">
        <w:rPr>
          <w:rFonts w:ascii="Arial" w:hAnsi="Arial" w:cs="Arial"/>
        </w:rPr>
        <w:t xml:space="preserve"> symptomatique inopérable autrement.</w:t>
      </w:r>
    </w:p>
    <w:p w14:paraId="082E0B23" w14:textId="77777777"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Cette conviction reposait sur la comparaison des résultats cliniques de cohortes non randomisées : les patients opérés semblaient mieux s’en sortir que ceux non opérés.</w:t>
      </w:r>
      <w:r w:rsidRPr="00201B00">
        <w:rPr>
          <w:rFonts w:ascii="Arial" w:hAnsi="Arial" w:cs="Arial"/>
        </w:rPr>
        <w:br/>
        <w:t>Cependant, à la surprise de beaucoup et à l’indignation de certains, un grand essai multicentrique randomisé, où les patients étaient assignés au hasard (comme par un tirage à pile ou face) pour recevoir ou non l’opération, a montré que la chirurgie n’améliorait pas le pronostic à long terme et aggravait l’état des patients immédiatement après l’intervention.</w:t>
      </w:r>
    </w:p>
    <w:p w14:paraId="696DF35C" w14:textId="77777777"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D’autres surprises similaires ont émergé d’essais randomisés :</w:t>
      </w:r>
    </w:p>
    <w:p w14:paraId="3A1E12B9" w14:textId="77777777" w:rsidR="00201B00" w:rsidRPr="00201B00" w:rsidRDefault="00201B00" w:rsidP="00201B00">
      <w:pPr>
        <w:numPr>
          <w:ilvl w:val="0"/>
          <w:numId w:val="5"/>
        </w:numPr>
        <w:spacing w:before="100" w:beforeAutospacing="1" w:after="100" w:afterAutospacing="1" w:line="360" w:lineRule="auto"/>
        <w:rPr>
          <w:rFonts w:ascii="Arial" w:hAnsi="Arial" w:cs="Arial"/>
        </w:rPr>
      </w:pPr>
      <w:proofErr w:type="gramStart"/>
      <w:r w:rsidRPr="00201B00">
        <w:rPr>
          <w:rFonts w:ascii="Arial" w:hAnsi="Arial" w:cs="Arial"/>
        </w:rPr>
        <w:t>les</w:t>
      </w:r>
      <w:proofErr w:type="gramEnd"/>
      <w:r w:rsidRPr="00201B00">
        <w:rPr>
          <w:rFonts w:ascii="Arial" w:hAnsi="Arial" w:cs="Arial"/>
        </w:rPr>
        <w:t> corticoïdes peuvent augmenter (et non réduire) la mortalité chez les patients atteints de septicémie,</w:t>
      </w:r>
    </w:p>
    <w:p w14:paraId="2EC1182D" w14:textId="77777777" w:rsidR="00201B00" w:rsidRPr="00201B00" w:rsidRDefault="00201B00" w:rsidP="00201B00">
      <w:pPr>
        <w:numPr>
          <w:ilvl w:val="0"/>
          <w:numId w:val="5"/>
        </w:numPr>
        <w:spacing w:before="100" w:beforeAutospacing="1" w:after="100" w:afterAutospacing="1" w:line="360" w:lineRule="auto"/>
        <w:rPr>
          <w:rFonts w:ascii="Arial" w:hAnsi="Arial" w:cs="Arial"/>
        </w:rPr>
      </w:pPr>
      <w:proofErr w:type="gramStart"/>
      <w:r w:rsidRPr="00201B00">
        <w:rPr>
          <w:rFonts w:ascii="Arial" w:hAnsi="Arial" w:cs="Arial"/>
        </w:rPr>
        <w:lastRenderedPageBreak/>
        <w:t>les</w:t>
      </w:r>
      <w:proofErr w:type="gramEnd"/>
      <w:r w:rsidRPr="00201B00">
        <w:rPr>
          <w:rFonts w:ascii="Arial" w:hAnsi="Arial" w:cs="Arial"/>
        </w:rPr>
        <w:t> injections de stéroïdes ne soulagent pas les douleurs lombaires d’origine facettaire,</w:t>
      </w:r>
    </w:p>
    <w:p w14:paraId="40C94F70" w14:textId="77777777" w:rsidR="00201B00" w:rsidRPr="00201B00" w:rsidRDefault="00201B00" w:rsidP="00201B00">
      <w:pPr>
        <w:numPr>
          <w:ilvl w:val="0"/>
          <w:numId w:val="5"/>
        </w:numPr>
        <w:spacing w:before="100" w:beforeAutospacing="1" w:after="100" w:afterAutospacing="1" w:line="360" w:lineRule="auto"/>
        <w:rPr>
          <w:rFonts w:ascii="Arial" w:hAnsi="Arial" w:cs="Arial"/>
        </w:rPr>
      </w:pPr>
      <w:proofErr w:type="gramStart"/>
      <w:r w:rsidRPr="00201B00">
        <w:rPr>
          <w:rFonts w:ascii="Arial" w:hAnsi="Arial" w:cs="Arial"/>
        </w:rPr>
        <w:t>et</w:t>
      </w:r>
      <w:proofErr w:type="gramEnd"/>
      <w:r w:rsidRPr="00201B00">
        <w:rPr>
          <w:rFonts w:ascii="Arial" w:hAnsi="Arial" w:cs="Arial"/>
        </w:rPr>
        <w:t xml:space="preserve"> la plasmaphérèse n’apporte aucun bénéfice aux patients souffrant de polymyosite.</w:t>
      </w:r>
    </w:p>
    <w:p w14:paraId="05F95468" w14:textId="77777777"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Ces exemples illustrent que les essais randomisés peuvent révéler des réalités opposées aux études moins rigoureuses.</w:t>
      </w:r>
    </w:p>
    <w:p w14:paraId="4927CFA8" w14:textId="77777777"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En effet, les résultats cliniques dépendent de nombreux facteurs — gravité initiale, comorbidités, facteurs pronostiques connus ou inconnus — qui peuvent masquer l’effet réel du traitement.</w:t>
      </w:r>
      <w:r w:rsidRPr="00201B00">
        <w:rPr>
          <w:rFonts w:ascii="Arial" w:hAnsi="Arial" w:cs="Arial"/>
        </w:rPr>
        <w:br/>
        <w:t>Or, ces mêmes facteurs influencent souvent la décision du clinicien de proposer ou non un traitement.</w:t>
      </w:r>
      <w:r w:rsidRPr="00201B00">
        <w:rPr>
          <w:rFonts w:ascii="Arial" w:hAnsi="Arial" w:cs="Arial"/>
        </w:rPr>
        <w:br/>
        <w:t>Ainsi, les études non randomisées sont souvent incapables de distinguer une thérapie utile d’une thérapie inutile voire nocive.</w:t>
      </w:r>
    </w:p>
    <w:p w14:paraId="5FA9AC32" w14:textId="74059449"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De plus, il a été démontré que les études où le traitement n’est pas attribué par randomisation tendent à montrer des effets de traitement exagérés (souvent faux positifs) comparativement aux essais randomisés.</w:t>
      </w:r>
      <w:r w:rsidRPr="00201B00">
        <w:rPr>
          <w:rFonts w:ascii="Arial" w:hAnsi="Arial" w:cs="Arial"/>
        </w:rPr>
        <w:br/>
        <w:t>La force de la randomisation réside dans le fait qu’elle assure, si l’échantillon est suffisamment grand, une répartition équitable entre les groupes de traitement et de contrôle des facteurs connus et inconnus influençant les résultats.</w:t>
      </w:r>
    </w:p>
    <w:p w14:paraId="0B3FD462" w14:textId="6E6A2A45" w:rsidR="00201B00" w:rsidRPr="00201B00" w:rsidRDefault="00201B00" w:rsidP="00201B00">
      <w:pPr>
        <w:spacing w:before="100" w:beforeAutospacing="1" w:after="100" w:afterAutospacing="1" w:line="360" w:lineRule="auto"/>
        <w:outlineLvl w:val="4"/>
        <w:rPr>
          <w:rFonts w:ascii="Arial" w:hAnsi="Arial" w:cs="Arial"/>
        </w:rPr>
      </w:pPr>
      <w:r w:rsidRPr="00201B00">
        <w:rPr>
          <w:rFonts w:ascii="Arial" w:hAnsi="Arial" w:cs="Arial"/>
        </w:rPr>
        <w:t>2. Tous les patients inclus dans l’essai ont-ils été correctement</w:t>
      </w:r>
      <w:r w:rsidR="003431BB">
        <w:rPr>
          <w:rFonts w:ascii="Arial" w:hAnsi="Arial" w:cs="Arial"/>
        </w:rPr>
        <w:t xml:space="preserve"> </w:t>
      </w:r>
      <w:r w:rsidRPr="00201B00">
        <w:rPr>
          <w:rFonts w:ascii="Arial" w:hAnsi="Arial" w:cs="Arial"/>
        </w:rPr>
        <w:t>suivis et analysés dans le groupe auquel ils avaient été assignés ?</w:t>
      </w:r>
    </w:p>
    <w:p w14:paraId="2AC35B64" w14:textId="77777777"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Ce guide comporte deux volets :</w:t>
      </w:r>
    </w:p>
    <w:p w14:paraId="2395D01D" w14:textId="77777777" w:rsidR="00201B00" w:rsidRPr="00201B00" w:rsidRDefault="00201B00" w:rsidP="00201B00">
      <w:pPr>
        <w:numPr>
          <w:ilvl w:val="0"/>
          <w:numId w:val="6"/>
        </w:numPr>
        <w:spacing w:before="100" w:beforeAutospacing="1" w:after="100" w:afterAutospacing="1" w:line="360" w:lineRule="auto"/>
        <w:rPr>
          <w:rFonts w:ascii="Arial" w:hAnsi="Arial" w:cs="Arial"/>
        </w:rPr>
      </w:pPr>
      <w:r w:rsidRPr="00201B00">
        <w:rPr>
          <w:rFonts w:ascii="Arial" w:hAnsi="Arial" w:cs="Arial"/>
        </w:rPr>
        <w:t>Le suivi des patients a-t-il été complet ?</w:t>
      </w:r>
    </w:p>
    <w:p w14:paraId="455DB8A2" w14:textId="77777777" w:rsidR="00201B00" w:rsidRPr="00201B00" w:rsidRDefault="00201B00" w:rsidP="00201B00">
      <w:pPr>
        <w:numPr>
          <w:ilvl w:val="0"/>
          <w:numId w:val="6"/>
        </w:numPr>
        <w:spacing w:before="100" w:beforeAutospacing="1" w:after="100" w:afterAutospacing="1" w:line="360" w:lineRule="auto"/>
        <w:rPr>
          <w:rFonts w:ascii="Arial" w:hAnsi="Arial" w:cs="Arial"/>
        </w:rPr>
      </w:pPr>
      <w:r w:rsidRPr="00201B00">
        <w:rPr>
          <w:rFonts w:ascii="Arial" w:hAnsi="Arial" w:cs="Arial"/>
        </w:rPr>
        <w:t>Les patients ont-ils été analysés dans les groupes d’origine (principe de l’intention de traiter) ?</w:t>
      </w:r>
    </w:p>
    <w:p w14:paraId="4D5251DB" w14:textId="77777777" w:rsidR="003431BB" w:rsidRDefault="003431BB" w:rsidP="00201B00">
      <w:pPr>
        <w:spacing w:before="100" w:beforeAutospacing="1" w:after="100" w:afterAutospacing="1" w:line="360" w:lineRule="auto"/>
        <w:outlineLvl w:val="5"/>
        <w:rPr>
          <w:rFonts w:ascii="Arial" w:hAnsi="Arial" w:cs="Arial"/>
        </w:rPr>
      </w:pPr>
    </w:p>
    <w:p w14:paraId="2E21C01B" w14:textId="77777777" w:rsidR="003431BB" w:rsidRDefault="003431BB" w:rsidP="00201B00">
      <w:pPr>
        <w:spacing w:before="100" w:beforeAutospacing="1" w:after="100" w:afterAutospacing="1" w:line="360" w:lineRule="auto"/>
        <w:outlineLvl w:val="5"/>
        <w:rPr>
          <w:rFonts w:ascii="Arial" w:hAnsi="Arial" w:cs="Arial"/>
        </w:rPr>
      </w:pPr>
    </w:p>
    <w:p w14:paraId="52C382CA" w14:textId="77777777" w:rsidR="003431BB" w:rsidRDefault="003431BB" w:rsidP="00201B00">
      <w:pPr>
        <w:spacing w:before="100" w:beforeAutospacing="1" w:after="100" w:afterAutospacing="1" w:line="360" w:lineRule="auto"/>
        <w:outlineLvl w:val="5"/>
        <w:rPr>
          <w:rFonts w:ascii="Arial" w:hAnsi="Arial" w:cs="Arial"/>
        </w:rPr>
      </w:pPr>
    </w:p>
    <w:p w14:paraId="3780FF5C" w14:textId="5FD39337" w:rsidR="00201B00" w:rsidRPr="00201B00" w:rsidRDefault="00201B00" w:rsidP="00201B00">
      <w:pPr>
        <w:spacing w:before="100" w:beforeAutospacing="1" w:after="100" w:afterAutospacing="1" w:line="360" w:lineRule="auto"/>
        <w:outlineLvl w:val="5"/>
        <w:rPr>
          <w:rFonts w:ascii="Arial" w:hAnsi="Arial" w:cs="Arial"/>
        </w:rPr>
      </w:pPr>
      <w:r w:rsidRPr="00201B00">
        <w:rPr>
          <w:rFonts w:ascii="Arial" w:hAnsi="Arial" w:cs="Arial"/>
        </w:rPr>
        <w:lastRenderedPageBreak/>
        <w:t>Suivi complet</w:t>
      </w:r>
    </w:p>
    <w:p w14:paraId="6AD14476" w14:textId="6E20E7AE"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Chaque patient inclus dans l’étude doit être comptabilisé à la fin de l’essai.</w:t>
      </w:r>
      <w:r w:rsidRPr="00201B00">
        <w:rPr>
          <w:rFonts w:ascii="Arial" w:hAnsi="Arial" w:cs="Arial"/>
        </w:rPr>
        <w:br/>
        <w:t>Si un nombre important de patients est perdu de vue, la validité de l’étude est compromise, car les patients perdus diffèrent souvent des autres :</w:t>
      </w:r>
      <w:r w:rsidR="00125048">
        <w:rPr>
          <w:rFonts w:ascii="Arial" w:hAnsi="Arial" w:cs="Arial"/>
        </w:rPr>
        <w:t>3</w:t>
      </w:r>
    </w:p>
    <w:p w14:paraId="793C4D1D" w14:textId="77777777" w:rsidR="00201B00" w:rsidRPr="00201B00" w:rsidRDefault="00201B00" w:rsidP="00201B00">
      <w:pPr>
        <w:numPr>
          <w:ilvl w:val="0"/>
          <w:numId w:val="7"/>
        </w:numPr>
        <w:spacing w:before="100" w:beforeAutospacing="1" w:after="100" w:afterAutospacing="1" w:line="360" w:lineRule="auto"/>
        <w:rPr>
          <w:rFonts w:ascii="Arial" w:hAnsi="Arial" w:cs="Arial"/>
        </w:rPr>
      </w:pPr>
      <w:proofErr w:type="gramStart"/>
      <w:r w:rsidRPr="00201B00">
        <w:rPr>
          <w:rFonts w:ascii="Arial" w:hAnsi="Arial" w:cs="Arial"/>
        </w:rPr>
        <w:t>certains</w:t>
      </w:r>
      <w:proofErr w:type="gramEnd"/>
      <w:r w:rsidRPr="00201B00">
        <w:rPr>
          <w:rFonts w:ascii="Arial" w:hAnsi="Arial" w:cs="Arial"/>
        </w:rPr>
        <w:t xml:space="preserve"> disparaissent parce qu’ils ont eu des issues défavorables (voire un décès),</w:t>
      </w:r>
    </w:p>
    <w:p w14:paraId="1967411B" w14:textId="77777777" w:rsidR="00201B00" w:rsidRPr="00201B00" w:rsidRDefault="00201B00" w:rsidP="00201B00">
      <w:pPr>
        <w:numPr>
          <w:ilvl w:val="0"/>
          <w:numId w:val="7"/>
        </w:numPr>
        <w:spacing w:before="100" w:beforeAutospacing="1" w:after="100" w:afterAutospacing="1" w:line="360" w:lineRule="auto"/>
        <w:rPr>
          <w:rFonts w:ascii="Arial" w:hAnsi="Arial" w:cs="Arial"/>
        </w:rPr>
      </w:pPr>
      <w:proofErr w:type="gramStart"/>
      <w:r w:rsidRPr="00201B00">
        <w:rPr>
          <w:rFonts w:ascii="Arial" w:hAnsi="Arial" w:cs="Arial"/>
        </w:rPr>
        <w:t>d’autres</w:t>
      </w:r>
      <w:proofErr w:type="gramEnd"/>
      <w:r w:rsidRPr="00201B00">
        <w:rPr>
          <w:rFonts w:ascii="Arial" w:hAnsi="Arial" w:cs="Arial"/>
        </w:rPr>
        <w:t xml:space="preserve"> parce qu’ils vont tellement bien qu’ils ne reviennent pas aux visites de contrôle.</w:t>
      </w:r>
    </w:p>
    <w:p w14:paraId="29396E1E" w14:textId="77777777"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Pour juger si les pertes de suivi sont excessives, on peut effectuer un test de sensibilité :</w:t>
      </w:r>
      <w:r w:rsidRPr="00201B00">
        <w:rPr>
          <w:rFonts w:ascii="Arial" w:hAnsi="Arial" w:cs="Arial"/>
        </w:rPr>
        <w:br/>
        <w:t>dans un essai positif, supposer que tous les patients perdus du groupe traité ont eu un mauvais résultat, et que tous ceux perdus du groupe contrôle ont eu un bon résultat.</w:t>
      </w:r>
      <w:r w:rsidRPr="00201B00">
        <w:rPr>
          <w:rFonts w:ascii="Arial" w:hAnsi="Arial" w:cs="Arial"/>
        </w:rPr>
        <w:br/>
        <w:t>Si les conclusions de l’étude ne changent pas, la perte de suivi n’est probablement pas problématique.</w:t>
      </w:r>
      <w:r w:rsidRPr="00201B00">
        <w:rPr>
          <w:rFonts w:ascii="Arial" w:hAnsi="Arial" w:cs="Arial"/>
        </w:rPr>
        <w:br/>
        <w:t>Si elles changent, la force de l’inférence est affaiblie.</w:t>
      </w:r>
    </w:p>
    <w:p w14:paraId="1B424F6A" w14:textId="77777777" w:rsidR="00201B00" w:rsidRPr="00201B00" w:rsidRDefault="00201B00" w:rsidP="00201B00">
      <w:pPr>
        <w:spacing w:before="100" w:beforeAutospacing="1" w:after="100" w:afterAutospacing="1" w:line="360" w:lineRule="auto"/>
        <w:outlineLvl w:val="5"/>
        <w:rPr>
          <w:rFonts w:ascii="Arial" w:hAnsi="Arial" w:cs="Arial"/>
        </w:rPr>
      </w:pPr>
      <w:r w:rsidRPr="00201B00">
        <w:rPr>
          <w:rFonts w:ascii="Arial" w:hAnsi="Arial" w:cs="Arial"/>
        </w:rPr>
        <w:t>Analyse selon le groupe d’origine</w:t>
      </w:r>
    </w:p>
    <w:p w14:paraId="59ED592B" w14:textId="77777777"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Dans les essais randomisés, certains patients oublient de prendre leur traitement ou refusent finalement de le suivre.</w:t>
      </w:r>
      <w:r w:rsidRPr="00201B00">
        <w:rPr>
          <w:rFonts w:ascii="Arial" w:hAnsi="Arial" w:cs="Arial"/>
        </w:rPr>
        <w:br/>
        <w:t>Il serait tentant de les exclure des analyses, mais ce serait une erreur :</w:t>
      </w:r>
      <w:r w:rsidRPr="00201B00">
        <w:rPr>
          <w:rFonts w:ascii="Arial" w:hAnsi="Arial" w:cs="Arial"/>
        </w:rPr>
        <w:br/>
        <w:t>les raisons de non-observance sont souvent liées au pronostic.</w:t>
      </w:r>
      <w:r w:rsidRPr="00201B00">
        <w:rPr>
          <w:rFonts w:ascii="Arial" w:hAnsi="Arial" w:cs="Arial"/>
        </w:rPr>
        <w:br/>
        <w:t>Des études ont montré que les patients non observants ont en général de moins bons résultats, même lorsqu’ils prenaient un placebo.</w:t>
      </w:r>
    </w:p>
    <w:p w14:paraId="0182A14A" w14:textId="77777777"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Les exclure reviendrait à fausser la comparaison, en laissant dans l’analyse un groupe de patients « en meilleure santé », détruisant ainsi l’équilibre créé par la randomisation.</w:t>
      </w:r>
    </w:p>
    <w:p w14:paraId="0B723F1F" w14:textId="77777777"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Le même raisonnement s’applique aux interventions chirurgicales :</w:t>
      </w:r>
      <w:r w:rsidRPr="00201B00">
        <w:rPr>
          <w:rFonts w:ascii="Arial" w:hAnsi="Arial" w:cs="Arial"/>
        </w:rPr>
        <w:br/>
        <w:t>certains patients randomisés pour une opération ne sont jamais opérés (trop malades, ou victimes d’un événement avant l’intervention).</w:t>
      </w:r>
      <w:r w:rsidRPr="00201B00">
        <w:rPr>
          <w:rFonts w:ascii="Arial" w:hAnsi="Arial" w:cs="Arial"/>
        </w:rPr>
        <w:br/>
      </w:r>
      <w:r w:rsidRPr="00201B00">
        <w:rPr>
          <w:rFonts w:ascii="Arial" w:hAnsi="Arial" w:cs="Arial"/>
        </w:rPr>
        <w:lastRenderedPageBreak/>
        <w:t>Si on les exclut du groupe chirurgical mais qu’on garde leurs homologues du groupe témoin, une chirurgie inutile pourrait sembler efficace, uniquement parce que les patients les plus graves ont été retirés du groupe opéré.</w:t>
      </w:r>
    </w:p>
    <w:p w14:paraId="38EC3452" w14:textId="77777777" w:rsidR="00201B00" w:rsidRPr="00201B00" w:rsidRDefault="00201B00" w:rsidP="00201B00">
      <w:pPr>
        <w:spacing w:before="100" w:beforeAutospacing="1" w:after="100" w:afterAutospacing="1" w:line="360" w:lineRule="auto"/>
        <w:rPr>
          <w:rFonts w:ascii="Arial" w:hAnsi="Arial" w:cs="Arial"/>
        </w:rPr>
      </w:pPr>
      <w:r w:rsidRPr="00201B00">
        <w:rPr>
          <w:rFonts w:ascii="Arial" w:hAnsi="Arial" w:cs="Arial"/>
        </w:rPr>
        <w:t>Cette approche correcte d’analyse est appelée analyse en intention de traiter :</w:t>
      </w:r>
      <w:r w:rsidRPr="00201B00">
        <w:rPr>
          <w:rFonts w:ascii="Arial" w:hAnsi="Arial" w:cs="Arial"/>
        </w:rPr>
        <w:br/>
        <w:t>tous les patients sont analysés dans le groupe auquel ils ont été assignés, quelle que soit l’adhésion au traitement.</w:t>
      </w:r>
      <w:r w:rsidRPr="00201B00">
        <w:rPr>
          <w:rFonts w:ascii="Arial" w:hAnsi="Arial" w:cs="Arial"/>
        </w:rPr>
        <w:br/>
        <w:t>Elle préserve la valeur de la randomisation et garantit que les facteurs pronostiques — connus ou inconnus — sont, en moyenne, équitablement répartis entre les groupes.</w:t>
      </w:r>
      <w:r w:rsidRPr="00201B00">
        <w:rPr>
          <w:rFonts w:ascii="Arial" w:hAnsi="Arial" w:cs="Arial"/>
        </w:rPr>
        <w:br/>
        <w:t>Ainsi, l’effet observé reflète uniquement le traitement attribué.</w:t>
      </w:r>
    </w:p>
    <w:p w14:paraId="19E2CE58" w14:textId="77777777" w:rsidR="003B043C" w:rsidRPr="003B043C" w:rsidRDefault="003B043C" w:rsidP="003B043C">
      <w:pPr>
        <w:spacing w:before="100" w:beforeAutospacing="1" w:after="100" w:afterAutospacing="1" w:line="240" w:lineRule="auto"/>
        <w:outlineLvl w:val="2"/>
        <w:rPr>
          <w:rFonts w:ascii="Arial" w:hAnsi="Arial" w:cs="Arial"/>
        </w:rPr>
      </w:pPr>
      <w:r w:rsidRPr="003B043C">
        <w:rPr>
          <w:rFonts w:ascii="Arial" w:hAnsi="Arial" w:cs="Arial"/>
        </w:rPr>
        <w:t>Guides secondaires</w:t>
      </w:r>
    </w:p>
    <w:p w14:paraId="2D12D552"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Les patients, leurs cliniciens et le personnel de l’étude étaient-ils « à l’aveugle » quant au traitement ?</w:t>
      </w:r>
      <w:r w:rsidRPr="003B043C">
        <w:rPr>
          <w:rFonts w:ascii="Arial" w:hAnsi="Arial" w:cs="Arial"/>
        </w:rPr>
        <w:br/>
        <w:t>Les patients qui savent qu’ils reçoivent un nouveau traitement expérimental ont souvent une opinion sur son efficacité, tout comme leurs cliniciens ou le personnel de recherche qui évalue la réponse au traitement. Ces opinions — qu’elles soient optimistes ou pessimistes — peuvent fausser de manière systématique d’autres aspects du traitement et la façon dont les résultats sont rapportés, réduisant ainsi notre confiance dans les conclusions de l’étude.</w:t>
      </w:r>
    </w:p>
    <w:p w14:paraId="468E6BFA"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De plus, le personnel non aveuglé qui mesure les résultats peut interpréter différemment les résultats marginaux ou encourager différemment les participants lors de tests de performance — ce qui, dans les deux cas, peut altérer les résultats.</w:t>
      </w:r>
    </w:p>
    <w:p w14:paraId="60D130B5"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La meilleure manière d’éviter ces biais est la double insu (aussi appelée double aveugle), qui consiste, dans les essais médicamenteux, à administrer au groupe témoin un placebo identique au traitement actif en apparence, goût et texture, mais dépourvu de l’ingrédient actif supposé.</w:t>
      </w:r>
    </w:p>
    <w:p w14:paraId="2E338809" w14:textId="2B6C183C"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Lorsqu’on lit des rapports sur des traitements (comme des interventions chirurgicales) où il est impossible de garder les patients et les cliniciens dans l’ignorance du traitement reçu, il faut vérifier si les chercheurs ont réduit les biais en rendant aveugles les évaluateurs des résultats cliniques.</w:t>
      </w:r>
    </w:p>
    <w:p w14:paraId="09F694BE"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Les groupes étaient-ils similaires au début de l’essai ?</w:t>
      </w:r>
      <w:r w:rsidRPr="003B043C">
        <w:rPr>
          <w:rFonts w:ascii="Arial" w:hAnsi="Arial" w:cs="Arial"/>
        </w:rPr>
        <w:br/>
        <w:t>Pour juger de la validité d’une étude, les lecteurs doivent être rassurés sur le fait que les groupes traitement et témoin étaient similaires pour tous les facteurs pouvant influencer les résultats cliniques — sauf un : le fait d’avoir reçu ou non le traitement expérimental.</w:t>
      </w:r>
    </w:p>
    <w:p w14:paraId="53B4FDD6"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 xml:space="preserve">Les chercheurs offrent cette garantie en présentant les caractéristiques initiales (ou de base) des participants dans chaque groupe. Même si nous ne saurons jamais si </w:t>
      </w:r>
      <w:r w:rsidRPr="003B043C">
        <w:rPr>
          <w:rFonts w:ascii="Arial" w:hAnsi="Arial" w:cs="Arial"/>
        </w:rPr>
        <w:lastRenderedPageBreak/>
        <w:t>les groupes sont identiques pour des facteurs pronostiques inconnus, nous sommes rassurés lorsque les facteurs pronostiques connus sont bien équilibrés.</w:t>
      </w:r>
    </w:p>
    <w:p w14:paraId="617AD926"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La randomisation ne garantit pas toujours un équilibre parfait des facteurs pronostiques connus. Lorsque les groupes sont de petite taille, le hasard peut faire que les patients ayant un meilleur pronostic se retrouvent majoritairement dans un groupe. Plus la taille de l’échantillon augmente, moins cela est probable (comme pour des lancers de pièces : il n’est pas surprenant d’obtenir 7 faces sur 10 lancers, mais cela le serait beaucoup plus d’obtenir 70 faces sur 100 lancers).</w:t>
      </w:r>
    </w:p>
    <w:p w14:paraId="40E981EA"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Le problème ne réside pas dans la significativité statistique des différences entre groupes — car dans un essai randomisé, on sait d’avance que toute différence est due au hasard —, mais dans l’ampleur de ces différences. Si elles sont trop grandes, la validité de l’étude peut être compromise. Plus la relation entre les facteurs pronostiques et le résultat est forte, et plus l’essai est petit, plus les déséquilibres affaiblissent la solidité des conclusions sur l’efficacité.</w:t>
      </w:r>
    </w:p>
    <w:p w14:paraId="2FA5E6E1" w14:textId="4A2B7B6F"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Tout n’est pas perdu si les groupes ne sont pas semblables au départ. Des méthodes statistiques permettent d’ajuster les résultats pour tenir compte de ces différences initiales. Les lecteurs doivent donc rechercher dans l’article la comparabilité des caractéristiques de base et, s’il existe des différences importantes, vérifier si les auteurs ont procédé à une analyse ajustée. Lorsque les analyses brutes et ajustées aboutissent à la même conclusion, cela renforce la confiance du lecteur dans la validité des résultats.</w:t>
      </w:r>
    </w:p>
    <w:p w14:paraId="0A9720DB"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En dehors de l’intervention expérimentale, les groupes ont-ils été traités de la même manière ?</w:t>
      </w:r>
      <w:r w:rsidRPr="003B043C">
        <w:rPr>
          <w:rFonts w:ascii="Arial" w:hAnsi="Arial" w:cs="Arial"/>
        </w:rPr>
        <w:br/>
        <w:t>Les soins prodigués aux groupes expérimental et témoin peuvent différer à d’autres égards que le traitement testé, et ces différences peuvent biaiser ou fausser les résultats.</w:t>
      </w:r>
    </w:p>
    <w:p w14:paraId="62D4203D"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Par exemple, si un groupe bénéficie d’un suivi plus rapproché, les événements seront plus souvent détectés et les patients pourraient recevoir davantage de traitements complémentaires non étudiés.</w:t>
      </w:r>
    </w:p>
    <w:p w14:paraId="7EE5A437"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Dans les essais portant sur de nouvelles thérapies pour la polyarthrite rhumatoïde résistante, si le groupe témoin reçoit plus fréquemment des corticostéroïdes systémiques (hautement efficaces pour soulager les symptômes) que le groupe expérimental, cela pourrait masquer l’effet réel du médicament testé — sauf si l’exacerbation nécessitant des stéroïdes est elle-même comptée comme un critère de jugement.</w:t>
      </w:r>
    </w:p>
    <w:p w14:paraId="4AD9CCF0" w14:textId="6DFEB4A1"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Les interventions autres que celle étudiée, appliquées différemment selon les groupes, sont appelées </w:t>
      </w:r>
      <w:proofErr w:type="spellStart"/>
      <w:r w:rsidRPr="003B043C">
        <w:rPr>
          <w:rFonts w:ascii="Arial" w:hAnsi="Arial" w:cs="Arial"/>
        </w:rPr>
        <w:t>co</w:t>
      </w:r>
      <w:proofErr w:type="spellEnd"/>
      <w:r w:rsidRPr="003B043C">
        <w:rPr>
          <w:rFonts w:ascii="Arial" w:hAnsi="Arial" w:cs="Arial"/>
        </w:rPr>
        <w:t>-interventions. Celles-ci posent un problème plus sérieux lorsque le double insu est absente ou que les traitements non étudiés sont laissés à la discrétion des médecins.</w:t>
      </w:r>
    </w:p>
    <w:p w14:paraId="7FDA324C" w14:textId="735EC00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 xml:space="preserve">Les cliniciens auront le plus confiance dans les résultats si les </w:t>
      </w:r>
      <w:proofErr w:type="spellStart"/>
      <w:r w:rsidRPr="003B043C">
        <w:rPr>
          <w:rFonts w:ascii="Arial" w:hAnsi="Arial" w:cs="Arial"/>
        </w:rPr>
        <w:t>co</w:t>
      </w:r>
      <w:proofErr w:type="spellEnd"/>
      <w:r w:rsidRPr="003B043C">
        <w:rPr>
          <w:rFonts w:ascii="Arial" w:hAnsi="Arial" w:cs="Arial"/>
        </w:rPr>
        <w:t>-interventions autorisées sont décrites dans la section “Méthodes” et documentées comme rares dans les résultats.</w:t>
      </w:r>
    </w:p>
    <w:p w14:paraId="586B3C84" w14:textId="5099E126"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lastRenderedPageBreak/>
        <w:t>Les cinq guides précédents — deux principaux et trois secondaires — appliqués dans l’ordre, aident le lecteur à déterminer si les résultats d’un article thérapeutique sont valides. Si c’est le cas, on peut ensuite examiner l’ampleur de l’effet et l’applicabilité aux patients.</w:t>
      </w:r>
    </w:p>
    <w:p w14:paraId="24FD7A62" w14:textId="77777777" w:rsidR="003B043C" w:rsidRPr="003B043C" w:rsidRDefault="003B043C" w:rsidP="003B043C">
      <w:pPr>
        <w:spacing w:before="100" w:beforeAutospacing="1" w:after="100" w:afterAutospacing="1" w:line="240" w:lineRule="auto"/>
        <w:outlineLvl w:val="2"/>
        <w:rPr>
          <w:rFonts w:ascii="Arial" w:hAnsi="Arial" w:cs="Arial"/>
        </w:rPr>
      </w:pPr>
      <w:r w:rsidRPr="003B043C">
        <w:rPr>
          <w:rFonts w:ascii="Arial" w:hAnsi="Arial" w:cs="Arial"/>
        </w:rPr>
        <w:t>Les résultats de l’étude sont-ils valides ? — L’essai de la plasmaphérèse</w:t>
      </w:r>
    </w:p>
    <w:p w14:paraId="2B4CC0B1"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Les lecteurs peuvent se demander dans quelle mesure l’essai de la plasmaphérèse chez les patients atteints de néphrite lupique répond aux critères de validité.</w:t>
      </w:r>
    </w:p>
    <w:p w14:paraId="3A891DE5"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Concernant les critères principaux, la randomisation a été rigoureusement effectuée : les traitements ont été attribués par appel téléphonique au centre de coordination. Un seul patient du groupe traitement standard a été perdu de vue, et tous les autres ont été analysés selon le groupe auquel ils avaient été assignés.</w:t>
      </w:r>
    </w:p>
    <w:p w14:paraId="394C9AA1"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Concernant les critères secondaires, l’étude n’était pas en aveugle, les deux groupes étaient comparables au départ, mais les auteurs fournissent peu d’informations sur la comparabilité d’autres aspects.</w:t>
      </w:r>
    </w:p>
    <w:p w14:paraId="4AD4F46B"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Dans l’article introductif de cette série, le concept de force de l’inférence a été présenté. L’évaluation finale de la validité n’est jamais une décision catégorique (« oui » ou « non ») et comporte toujours une part de jugement subjectif.</w:t>
      </w:r>
    </w:p>
    <w:p w14:paraId="66B19638"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Nous estimons que la méthodologie de cet essai est globalement solide et fournit une base valide pour décider s’il convient ou non d’administrer la plasmaphérèse à notre patiente atteinte de néphrite lupique sévère.</w:t>
      </w:r>
    </w:p>
    <w:p w14:paraId="45DCCB05" w14:textId="77777777" w:rsidR="003B043C" w:rsidRPr="003B043C" w:rsidRDefault="003B043C" w:rsidP="003B043C">
      <w:pPr>
        <w:spacing w:before="100" w:beforeAutospacing="1" w:after="100" w:afterAutospacing="1" w:line="240" w:lineRule="auto"/>
        <w:rPr>
          <w:rFonts w:ascii="Arial" w:hAnsi="Arial" w:cs="Arial"/>
        </w:rPr>
      </w:pPr>
      <w:r w:rsidRPr="003B043C">
        <w:rPr>
          <w:rFonts w:ascii="Arial" w:hAnsi="Arial" w:cs="Arial"/>
        </w:rPr>
        <w:t>Ainsi, dans la partie A de ce double article, nous avons expliqué comment déterminer si les résultats d’une étude sont valides. La partie B décrira comment évaluer les résultats de l’essai et leur utilité pour la prise en charge du patient.</w:t>
      </w:r>
    </w:p>
    <w:p w14:paraId="013DF6E9" w14:textId="77777777" w:rsidR="00201B00" w:rsidRPr="00F863DF" w:rsidRDefault="00201B00" w:rsidP="00201B00">
      <w:pPr>
        <w:spacing w:after="0" w:line="360" w:lineRule="auto"/>
        <w:rPr>
          <w:rFonts w:ascii="Arial" w:hAnsi="Arial" w:cs="Arial"/>
        </w:rPr>
      </w:pPr>
    </w:p>
    <w:sectPr w:rsidR="00201B00" w:rsidRPr="00F863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5BB"/>
    <w:multiLevelType w:val="multilevel"/>
    <w:tmpl w:val="D5EAE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CE14BF"/>
    <w:multiLevelType w:val="multilevel"/>
    <w:tmpl w:val="2506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025B14"/>
    <w:multiLevelType w:val="multilevel"/>
    <w:tmpl w:val="A248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526F87"/>
    <w:multiLevelType w:val="hybridMultilevel"/>
    <w:tmpl w:val="25CEC47C"/>
    <w:lvl w:ilvl="0" w:tplc="040C0015">
      <w:start w:val="1"/>
      <w:numFmt w:val="upperLetter"/>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71A721F"/>
    <w:multiLevelType w:val="multilevel"/>
    <w:tmpl w:val="B5BA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24921"/>
    <w:multiLevelType w:val="multilevel"/>
    <w:tmpl w:val="91EA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51A1F"/>
    <w:multiLevelType w:val="multilevel"/>
    <w:tmpl w:val="B158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122774">
    <w:abstractNumId w:val="3"/>
  </w:num>
  <w:num w:numId="2" w16cid:durableId="1206598400">
    <w:abstractNumId w:val="6"/>
  </w:num>
  <w:num w:numId="3" w16cid:durableId="1053386925">
    <w:abstractNumId w:val="2"/>
  </w:num>
  <w:num w:numId="4" w16cid:durableId="343358359">
    <w:abstractNumId w:val="0"/>
  </w:num>
  <w:num w:numId="5" w16cid:durableId="1464037180">
    <w:abstractNumId w:val="4"/>
  </w:num>
  <w:num w:numId="6" w16cid:durableId="1442720329">
    <w:abstractNumId w:val="1"/>
  </w:num>
  <w:num w:numId="7" w16cid:durableId="887449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3DF"/>
    <w:rsid w:val="00125048"/>
    <w:rsid w:val="00201B00"/>
    <w:rsid w:val="003431BB"/>
    <w:rsid w:val="003B043C"/>
    <w:rsid w:val="007F69EC"/>
    <w:rsid w:val="008A759D"/>
    <w:rsid w:val="009733B5"/>
    <w:rsid w:val="00AE6674"/>
    <w:rsid w:val="00D302F2"/>
    <w:rsid w:val="00DD1552"/>
    <w:rsid w:val="00F863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D2686"/>
  <w15:chartTrackingRefBased/>
  <w15:docId w15:val="{29EB4D1D-993E-6146-9567-B0D9E2759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86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86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863D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F863D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F863D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F863D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863D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863D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863D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863D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863D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863D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F863DF"/>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F863DF"/>
    <w:rPr>
      <w:rFonts w:eastAsiaTheme="majorEastAsia" w:cstheme="majorBidi"/>
      <w:color w:val="0F4761" w:themeColor="accent1" w:themeShade="BF"/>
    </w:rPr>
  </w:style>
  <w:style w:type="character" w:customStyle="1" w:styleId="Titre6Car">
    <w:name w:val="Titre 6 Car"/>
    <w:basedOn w:val="Policepardfaut"/>
    <w:link w:val="Titre6"/>
    <w:uiPriority w:val="9"/>
    <w:rsid w:val="00F863D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863D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863D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863DF"/>
    <w:rPr>
      <w:rFonts w:eastAsiaTheme="majorEastAsia" w:cstheme="majorBidi"/>
      <w:color w:val="272727" w:themeColor="text1" w:themeTint="D8"/>
    </w:rPr>
  </w:style>
  <w:style w:type="paragraph" w:styleId="Titre">
    <w:name w:val="Title"/>
    <w:basedOn w:val="Normal"/>
    <w:next w:val="Normal"/>
    <w:link w:val="TitreCar"/>
    <w:uiPriority w:val="10"/>
    <w:qFormat/>
    <w:rsid w:val="00F86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863D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863D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863D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863DF"/>
    <w:pPr>
      <w:spacing w:before="160"/>
      <w:jc w:val="center"/>
    </w:pPr>
    <w:rPr>
      <w:i/>
      <w:iCs/>
      <w:color w:val="404040" w:themeColor="text1" w:themeTint="BF"/>
    </w:rPr>
  </w:style>
  <w:style w:type="character" w:customStyle="1" w:styleId="CitationCar">
    <w:name w:val="Citation Car"/>
    <w:basedOn w:val="Policepardfaut"/>
    <w:link w:val="Citation"/>
    <w:uiPriority w:val="29"/>
    <w:rsid w:val="00F863DF"/>
    <w:rPr>
      <w:i/>
      <w:iCs/>
      <w:color w:val="404040" w:themeColor="text1" w:themeTint="BF"/>
    </w:rPr>
  </w:style>
  <w:style w:type="paragraph" w:styleId="Paragraphedeliste">
    <w:name w:val="List Paragraph"/>
    <w:basedOn w:val="Normal"/>
    <w:uiPriority w:val="34"/>
    <w:qFormat/>
    <w:rsid w:val="00F863DF"/>
    <w:pPr>
      <w:ind w:left="720"/>
      <w:contextualSpacing/>
    </w:pPr>
  </w:style>
  <w:style w:type="character" w:styleId="Accentuationintense">
    <w:name w:val="Intense Emphasis"/>
    <w:basedOn w:val="Policepardfaut"/>
    <w:uiPriority w:val="21"/>
    <w:qFormat/>
    <w:rsid w:val="00F863DF"/>
    <w:rPr>
      <w:i/>
      <w:iCs/>
      <w:color w:val="0F4761" w:themeColor="accent1" w:themeShade="BF"/>
    </w:rPr>
  </w:style>
  <w:style w:type="paragraph" w:styleId="Citationintense">
    <w:name w:val="Intense Quote"/>
    <w:basedOn w:val="Normal"/>
    <w:next w:val="Normal"/>
    <w:link w:val="CitationintenseCar"/>
    <w:uiPriority w:val="30"/>
    <w:qFormat/>
    <w:rsid w:val="00F86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863DF"/>
    <w:rPr>
      <w:i/>
      <w:iCs/>
      <w:color w:val="0F4761" w:themeColor="accent1" w:themeShade="BF"/>
    </w:rPr>
  </w:style>
  <w:style w:type="character" w:styleId="Rfrenceintense">
    <w:name w:val="Intense Reference"/>
    <w:basedOn w:val="Policepardfaut"/>
    <w:uiPriority w:val="32"/>
    <w:qFormat/>
    <w:rsid w:val="00F863DF"/>
    <w:rPr>
      <w:b/>
      <w:bCs/>
      <w:smallCaps/>
      <w:color w:val="0F4761" w:themeColor="accent1" w:themeShade="BF"/>
      <w:spacing w:val="5"/>
    </w:rPr>
  </w:style>
  <w:style w:type="paragraph" w:customStyle="1" w:styleId="my-2">
    <w:name w:val="my-2"/>
    <w:basedOn w:val="Normal"/>
    <w:rsid w:val="00F863D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grouplanguage-learning">
    <w:name w:val="group/language-learning"/>
    <w:basedOn w:val="Policepardfaut"/>
    <w:rsid w:val="00F863DF"/>
  </w:style>
  <w:style w:type="character" w:customStyle="1" w:styleId="group-hoverlanguage-learningborder-foreground">
    <w:name w:val="group-hover/language-learning:border-foreground"/>
    <w:basedOn w:val="Policepardfaut"/>
    <w:rsid w:val="00F863DF"/>
  </w:style>
  <w:style w:type="character" w:customStyle="1" w:styleId="apple-converted-space">
    <w:name w:val="apple-converted-space"/>
    <w:basedOn w:val="Policepardfaut"/>
    <w:rsid w:val="00F863DF"/>
  </w:style>
  <w:style w:type="paragraph" w:styleId="NormalWeb">
    <w:name w:val="Normal (Web)"/>
    <w:basedOn w:val="Normal"/>
    <w:uiPriority w:val="99"/>
    <w:semiHidden/>
    <w:unhideWhenUsed/>
    <w:rsid w:val="00DD155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DD1552"/>
    <w:rPr>
      <w:b/>
      <w:bCs/>
    </w:rPr>
  </w:style>
  <w:style w:type="character" w:styleId="Accentuation">
    <w:name w:val="Emphasis"/>
    <w:basedOn w:val="Policepardfaut"/>
    <w:uiPriority w:val="20"/>
    <w:qFormat/>
    <w:rsid w:val="00DD15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2801</Words>
  <Characters>15409</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 Moussa TENGUIANO</dc:creator>
  <cp:keywords/>
  <dc:description/>
  <cp:lastModifiedBy>Saa Moussa TENGUIANO</cp:lastModifiedBy>
  <cp:revision>2</cp:revision>
  <dcterms:created xsi:type="dcterms:W3CDTF">2025-11-13T16:54:00Z</dcterms:created>
  <dcterms:modified xsi:type="dcterms:W3CDTF">2025-11-16T22:09:00Z</dcterms:modified>
</cp:coreProperties>
</file>