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1031A" w14:textId="77777777" w:rsidR="00D026C2" w:rsidRPr="00D026C2" w:rsidRDefault="00D026C2" w:rsidP="00D026C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eastAsia="fr-FR"/>
          <w14:ligatures w14:val="none"/>
        </w:rPr>
        <w:t>Voici une synthèse structurée centrée sur la lecture critique de l’étude NEJM 2025 sur le clesrovimab, en la situant dans l’état actuel des connaissances sur la prévention du VRS :</w:t>
      </w:r>
    </w:p>
    <w:p w14:paraId="17910305" w14:textId="77777777" w:rsidR="00D026C2" w:rsidRPr="00D026C2" w:rsidRDefault="003E0538" w:rsidP="00D026C2">
      <w:pPr>
        <w:spacing w:before="240" w:after="240" w:line="240" w:lineRule="auto"/>
        <w:rPr>
          <w:rFonts w:ascii="Segoe UI" w:eastAsia="Times New Roman" w:hAnsi="Segoe UI" w:cs="Segoe UI"/>
          <w:spacing w:val="1"/>
          <w:kern w:val="0"/>
          <w:lang w:eastAsia="fr-FR"/>
          <w14:ligatures w14:val="none"/>
        </w:rPr>
      </w:pPr>
      <w:r w:rsidRPr="003E0538">
        <w:rPr>
          <w:rFonts w:ascii="Times New Roman" w:eastAsia="Times New Roman" w:hAnsi="Times New Roman" w:cs="Times New Roman"/>
          <w:noProof/>
          <w:kern w:val="0"/>
          <w:lang w:eastAsia="fr-FR"/>
        </w:rPr>
        <w:pict w14:anchorId="11869D27">
          <v:rect id="_x0000_i1030" alt="" style="width:453.6pt;height:.05pt;mso-width-percent:0;mso-height-percent:0;mso-width-percent:0;mso-height-percent:0" o:hralign="center" o:hrstd="t" o:hr="t" fillcolor="#a0a0a0" stroked="f"/>
        </w:pict>
      </w:r>
    </w:p>
    <w:p w14:paraId="312D92FC" w14:textId="77777777" w:rsidR="00D026C2" w:rsidRPr="00D026C2" w:rsidRDefault="00D026C2" w:rsidP="00D026C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1"/>
          <w:kern w:val="0"/>
          <w:sz w:val="36"/>
          <w:szCs w:val="36"/>
          <w:lang w:eastAsia="fr-FR"/>
          <w14:ligatures w14:val="none"/>
        </w:rPr>
      </w:pPr>
      <w:r w:rsidRPr="00D026C2">
        <w:rPr>
          <w:rFonts w:ascii="Segoe UI" w:eastAsia="Times New Roman" w:hAnsi="Segoe UI" w:cs="Segoe UI"/>
          <w:b/>
          <w:bCs/>
          <w:spacing w:val="1"/>
          <w:kern w:val="0"/>
          <w:sz w:val="36"/>
          <w:szCs w:val="36"/>
          <w:lang w:eastAsia="fr-FR"/>
          <w14:ligatures w14:val="none"/>
        </w:rPr>
        <w:t>Pertinence de l’étude</w:t>
      </w:r>
    </w:p>
    <w:p w14:paraId="3C6CA1EB" w14:textId="77777777" w:rsidR="00D026C2" w:rsidRPr="00D026C2" w:rsidRDefault="00D026C2" w:rsidP="00D026C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eastAsia="fr-FR"/>
          <w14:ligatures w14:val="none"/>
        </w:rPr>
        <w:t>Cette publication du NEJM examine l’efficacité du clesrovimab, un anticorps monoclonal à demi-vie prolongée, pour la prévention des infections à virus respiratoire syncytial (VRS) chez les nourrissons nés à terme ou prématurés, à l’entrée de leur première saison VRS. L’étude vise à guider la décision clinique concernant l’immunisation de tous les nourrissons contre les formes graves ou hospitalisations liées au VRS, un enjeu central en pédiatrie, particulièrement après la mise en avant d’options référentes comme le nirsevimab et la vaccination maternelle .​​</w:t>
      </w:r>
    </w:p>
    <w:p w14:paraId="2E8C7C14" w14:textId="77777777" w:rsidR="00D026C2" w:rsidRPr="00D026C2" w:rsidRDefault="003E0538" w:rsidP="00D026C2">
      <w:pPr>
        <w:spacing w:before="240" w:after="240" w:line="240" w:lineRule="auto"/>
        <w:rPr>
          <w:rFonts w:ascii="Segoe UI" w:eastAsia="Times New Roman" w:hAnsi="Segoe UI" w:cs="Segoe UI"/>
          <w:spacing w:val="1"/>
          <w:kern w:val="0"/>
          <w:lang w:eastAsia="fr-FR"/>
          <w14:ligatures w14:val="none"/>
        </w:rPr>
      </w:pPr>
      <w:r w:rsidRPr="003E0538">
        <w:rPr>
          <w:rFonts w:ascii="Times New Roman" w:eastAsia="Times New Roman" w:hAnsi="Times New Roman" w:cs="Times New Roman"/>
          <w:noProof/>
          <w:kern w:val="0"/>
          <w:lang w:eastAsia="fr-FR"/>
        </w:rPr>
        <w:pict w14:anchorId="091414EB">
          <v:rect id="_x0000_i1029" alt="" style="width:453.6pt;height:.05pt;mso-width-percent:0;mso-height-percent:0;mso-width-percent:0;mso-height-percent:0" o:hralign="center" o:hrstd="t" o:hr="t" fillcolor="#a0a0a0" stroked="f"/>
        </w:pict>
      </w:r>
    </w:p>
    <w:p w14:paraId="5E80DE96" w14:textId="77777777" w:rsidR="00D026C2" w:rsidRPr="00D026C2" w:rsidRDefault="00D026C2" w:rsidP="00D026C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1"/>
          <w:kern w:val="0"/>
          <w:sz w:val="36"/>
          <w:szCs w:val="36"/>
          <w:lang w:eastAsia="fr-FR"/>
          <w14:ligatures w14:val="none"/>
        </w:rPr>
      </w:pPr>
      <w:r w:rsidRPr="00D026C2">
        <w:rPr>
          <w:rFonts w:ascii="Segoe UI" w:eastAsia="Times New Roman" w:hAnsi="Segoe UI" w:cs="Segoe UI"/>
          <w:b/>
          <w:bCs/>
          <w:spacing w:val="1"/>
          <w:kern w:val="0"/>
          <w:sz w:val="36"/>
          <w:szCs w:val="36"/>
          <w:lang w:eastAsia="fr-FR"/>
          <w14:ligatures w14:val="none"/>
        </w:rPr>
        <w:t>Importance des résultats</w:t>
      </w:r>
    </w:p>
    <w:p w14:paraId="10E7F9BC" w14:textId="77777777" w:rsidR="00D026C2" w:rsidRPr="00D026C2" w:rsidRDefault="00D026C2" w:rsidP="00D026C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b/>
          <w:bCs/>
          <w:spacing w:val="1"/>
          <w:kern w:val="0"/>
          <w:bdr w:val="single" w:sz="2" w:space="0" w:color="auto" w:frame="1"/>
          <w:lang w:eastAsia="fr-FR"/>
          <w14:ligatures w14:val="none"/>
        </w:rPr>
        <w:t>Signification clinique et statistique</w:t>
      </w:r>
      <w:r w:rsidRPr="00D026C2">
        <w:rPr>
          <w:rFonts w:ascii="Segoe UI" w:eastAsia="Times New Roman" w:hAnsi="Segoe UI" w:cs="Segoe UI"/>
          <w:spacing w:val="1"/>
          <w:kern w:val="0"/>
          <w:lang w:eastAsia="fr-FR"/>
          <w14:ligatures w14:val="none"/>
        </w:rPr>
        <w:t> : Sur plus de 3600 nourrissons, une dose unique de clesrovimab a réduit de façon significative l’incidence des infections à VRS médicalement suivies (2,6 % vs 6,5 % ; efficacité = 60,4 %, IC95 : 44,1–71,9 %, p&lt;0,001) et des hospitalisations associées (0,4 % vs 2,3 % ; efficacité = 84,2 %, IC95 : 66,6–92,6 %, p&lt;0,001) pendant 5 mois .​​</w:t>
      </w:r>
    </w:p>
    <w:p w14:paraId="2E646196" w14:textId="77777777" w:rsidR="00D026C2" w:rsidRPr="00D026C2" w:rsidRDefault="00D026C2" w:rsidP="00D026C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b/>
          <w:bCs/>
          <w:spacing w:val="1"/>
          <w:kern w:val="0"/>
          <w:bdr w:val="single" w:sz="2" w:space="0" w:color="auto" w:frame="1"/>
          <w:lang w:eastAsia="fr-FR"/>
          <w14:ligatures w14:val="none"/>
        </w:rPr>
        <w:t>Nombre nécessaire à traiter (NNT)</w:t>
      </w:r>
      <w:r w:rsidRPr="00D026C2">
        <w:rPr>
          <w:rFonts w:ascii="Segoe UI" w:eastAsia="Times New Roman" w:hAnsi="Segoe UI" w:cs="Segoe UI"/>
          <w:spacing w:val="1"/>
          <w:kern w:val="0"/>
          <w:lang w:eastAsia="fr-FR"/>
          <w14:ligatures w14:val="none"/>
        </w:rPr>
        <w:t> : Pour éviter un épisode d’infection à VRS médicalement suivie, il faut immuniser 15 nourrissons (NNT = 15, IC 11–21) ; pour une hospitalisation sévère, de 46 à 108 selon le critère .​</w:t>
      </w:r>
    </w:p>
    <w:p w14:paraId="5C008B7C" w14:textId="77777777" w:rsidR="00D026C2" w:rsidRPr="00D026C2" w:rsidRDefault="00D026C2" w:rsidP="00D026C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b/>
          <w:bCs/>
          <w:spacing w:val="1"/>
          <w:kern w:val="0"/>
          <w:bdr w:val="single" w:sz="2" w:space="0" w:color="auto" w:frame="1"/>
          <w:lang w:eastAsia="fr-FR"/>
          <w14:ligatures w14:val="none"/>
        </w:rPr>
        <w:t>Risques et NNH</w:t>
      </w:r>
      <w:r w:rsidRPr="00D026C2">
        <w:rPr>
          <w:rFonts w:ascii="Segoe UI" w:eastAsia="Times New Roman" w:hAnsi="Segoe UI" w:cs="Segoe UI"/>
          <w:spacing w:val="1"/>
          <w:kern w:val="0"/>
          <w:lang w:eastAsia="fr-FR"/>
          <w14:ligatures w14:val="none"/>
        </w:rPr>
        <w:t> : Le profil de sécurité est similaire au placebo (événements indésirables : 75 % vs 76 %; sérieux : 11,5 % vs 12,4 %; décès rares et non attribués au traitement). Les réactions locales et systémiques sont rares et bénignes. Aucun signal de sur-risque grave n’a émergé (NNH élevé, non calculé avec précision dans l’article, mais absence de différence statistique) .​​</w:t>
      </w:r>
    </w:p>
    <w:p w14:paraId="1BF405A4" w14:textId="77777777" w:rsidR="00D026C2" w:rsidRPr="00D026C2" w:rsidRDefault="00D026C2" w:rsidP="00D026C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b/>
          <w:bCs/>
          <w:spacing w:val="1"/>
          <w:kern w:val="0"/>
          <w:bdr w:val="single" w:sz="2" w:space="0" w:color="auto" w:frame="1"/>
          <w:lang w:eastAsia="fr-FR"/>
          <w14:ligatures w14:val="none"/>
        </w:rPr>
        <w:t>Bénéfices majeurs</w:t>
      </w:r>
      <w:r w:rsidRPr="00D026C2">
        <w:rPr>
          <w:rFonts w:ascii="Segoe UI" w:eastAsia="Times New Roman" w:hAnsi="Segoe UI" w:cs="Segoe UI"/>
          <w:spacing w:val="1"/>
          <w:kern w:val="0"/>
          <w:lang w:eastAsia="fr-FR"/>
          <w14:ligatures w14:val="none"/>
        </w:rPr>
        <w:t> : Réduction du fardeau hospitalier lié au VRS, simplicité du schéma (une injection saisonnière non pondérée au poids), efficacité robuste dans tous les sous-groupes étudiés (prématurité, poids, âge, hémisphère) .​​</w:t>
      </w:r>
    </w:p>
    <w:p w14:paraId="7B892623" w14:textId="77777777" w:rsidR="00D026C2" w:rsidRPr="00D026C2" w:rsidRDefault="003E0538" w:rsidP="00D026C2">
      <w:pPr>
        <w:spacing w:before="240" w:after="240" w:line="240" w:lineRule="auto"/>
        <w:rPr>
          <w:rFonts w:ascii="Segoe UI" w:eastAsia="Times New Roman" w:hAnsi="Segoe UI" w:cs="Segoe UI"/>
          <w:spacing w:val="1"/>
          <w:kern w:val="0"/>
          <w:lang w:eastAsia="fr-FR"/>
          <w14:ligatures w14:val="none"/>
        </w:rPr>
      </w:pPr>
      <w:r w:rsidRPr="003E0538">
        <w:rPr>
          <w:rFonts w:ascii="Times New Roman" w:eastAsia="Times New Roman" w:hAnsi="Times New Roman" w:cs="Times New Roman"/>
          <w:noProof/>
          <w:kern w:val="0"/>
          <w:lang w:eastAsia="fr-FR"/>
        </w:rPr>
        <w:pict w14:anchorId="12446CEA">
          <v:rect id="_x0000_i1028" alt="" style="width:453.6pt;height:.05pt;mso-width-percent:0;mso-height-percent:0;mso-width-percent:0;mso-height-percent:0" o:hralign="center" o:hrstd="t" o:hr="t" fillcolor="#a0a0a0" stroked="f"/>
        </w:pict>
      </w:r>
    </w:p>
    <w:p w14:paraId="57890A72" w14:textId="77777777" w:rsidR="00D026C2" w:rsidRPr="00D026C2" w:rsidRDefault="00D026C2" w:rsidP="00D026C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1"/>
          <w:kern w:val="0"/>
          <w:sz w:val="36"/>
          <w:szCs w:val="36"/>
          <w:lang w:eastAsia="fr-FR"/>
          <w14:ligatures w14:val="none"/>
        </w:rPr>
      </w:pPr>
      <w:r w:rsidRPr="00D026C2">
        <w:rPr>
          <w:rFonts w:ascii="Segoe UI" w:eastAsia="Times New Roman" w:hAnsi="Segoe UI" w:cs="Segoe UI"/>
          <w:b/>
          <w:bCs/>
          <w:spacing w:val="1"/>
          <w:kern w:val="0"/>
          <w:sz w:val="36"/>
          <w:szCs w:val="36"/>
          <w:lang w:eastAsia="fr-FR"/>
          <w14:ligatures w14:val="none"/>
        </w:rPr>
        <w:t>Critique de la méthodologie</w:t>
      </w:r>
    </w:p>
    <w:p w14:paraId="3F628950" w14:textId="77777777" w:rsidR="00D026C2" w:rsidRPr="00D026C2" w:rsidRDefault="00D026C2" w:rsidP="00D026C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b/>
          <w:bCs/>
          <w:spacing w:val="1"/>
          <w:kern w:val="0"/>
          <w:bdr w:val="single" w:sz="2" w:space="0" w:color="auto" w:frame="1"/>
          <w:lang w:eastAsia="fr-FR"/>
          <w14:ligatures w14:val="none"/>
        </w:rPr>
        <w:t>Points forts</w:t>
      </w:r>
      <w:r w:rsidRPr="00D026C2">
        <w:rPr>
          <w:rFonts w:ascii="Segoe UI" w:eastAsia="Times New Roman" w:hAnsi="Segoe UI" w:cs="Segoe UI"/>
          <w:spacing w:val="1"/>
          <w:kern w:val="0"/>
          <w:lang w:eastAsia="fr-FR"/>
          <w14:ligatures w14:val="none"/>
        </w:rPr>
        <w:t> :</w:t>
      </w:r>
    </w:p>
    <w:p w14:paraId="423A89FE" w14:textId="77777777" w:rsidR="00D026C2" w:rsidRPr="00D026C2" w:rsidRDefault="00D026C2" w:rsidP="00D026C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eastAsia="fr-FR"/>
          <w14:ligatures w14:val="none"/>
        </w:rPr>
        <w:lastRenderedPageBreak/>
        <w:t>Double aveugle, randomisé (rapport 2:1), contrôle placebo.</w:t>
      </w:r>
    </w:p>
    <w:p w14:paraId="5ACCBD7F" w14:textId="77777777" w:rsidR="00D026C2" w:rsidRPr="00D026C2" w:rsidRDefault="00D026C2" w:rsidP="00D026C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eastAsia="fr-FR"/>
          <w14:ligatures w14:val="none"/>
        </w:rPr>
        <w:t>Population large et représentative (22 pays, prématurés et nés à terme).</w:t>
      </w:r>
    </w:p>
    <w:p w14:paraId="7B8EA460" w14:textId="77777777" w:rsidR="00D026C2" w:rsidRPr="00D026C2" w:rsidRDefault="00D026C2" w:rsidP="00D026C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eastAsia="fr-FR"/>
          <w14:ligatures w14:val="none"/>
        </w:rPr>
        <w:t>Critères d’inclusion/exclusion détaillés, randomisation stratifiée.</w:t>
      </w:r>
    </w:p>
    <w:p w14:paraId="2A44DEA7" w14:textId="77777777" w:rsidR="00D026C2" w:rsidRPr="00D026C2" w:rsidRDefault="00D026C2" w:rsidP="00D026C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eastAsia="fr-FR"/>
          <w14:ligatures w14:val="none"/>
        </w:rPr>
        <w:t>Suivi sur toute la saison RSV, analyses en intention de traiter.</w:t>
      </w:r>
    </w:p>
    <w:p w14:paraId="2F1E762D" w14:textId="77777777" w:rsidR="00D026C2" w:rsidRPr="00D026C2" w:rsidRDefault="00D026C2" w:rsidP="00D026C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eastAsia="fr-FR"/>
          <w14:ligatures w14:val="none"/>
        </w:rPr>
        <w:t>Analyses statistiques adaptées (Poisson modifié, IC ajustés, hiérarchie des endpoints).</w:t>
      </w:r>
    </w:p>
    <w:p w14:paraId="3EA85718" w14:textId="77777777" w:rsidR="00D026C2" w:rsidRPr="00D026C2" w:rsidRDefault="00D026C2" w:rsidP="00D026C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b/>
          <w:bCs/>
          <w:spacing w:val="1"/>
          <w:kern w:val="0"/>
          <w:bdr w:val="single" w:sz="2" w:space="0" w:color="auto" w:frame="1"/>
          <w:lang w:eastAsia="fr-FR"/>
          <w14:ligatures w14:val="none"/>
        </w:rPr>
        <w:t>Limites</w:t>
      </w:r>
      <w:r w:rsidRPr="00D026C2">
        <w:rPr>
          <w:rFonts w:ascii="Segoe UI" w:eastAsia="Times New Roman" w:hAnsi="Segoe UI" w:cs="Segoe UI"/>
          <w:spacing w:val="1"/>
          <w:kern w:val="0"/>
          <w:lang w:eastAsia="fr-FR"/>
          <w14:ligatures w14:val="none"/>
        </w:rPr>
        <w:t> :</w:t>
      </w:r>
    </w:p>
    <w:p w14:paraId="5B21F6C7" w14:textId="77777777" w:rsidR="00D026C2" w:rsidRPr="00D026C2" w:rsidRDefault="00D026C2" w:rsidP="00D026C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eastAsia="fr-FR"/>
          <w14:ligatures w14:val="none"/>
        </w:rPr>
        <w:t>Durée de suivi limitée à la première saison VRS ; absence de recul sur la protection multi-saison et conséquences long terme.</w:t>
      </w:r>
    </w:p>
    <w:p w14:paraId="41051FF0" w14:textId="77777777" w:rsidR="00D026C2" w:rsidRPr="00D026C2" w:rsidRDefault="00D026C2" w:rsidP="00D026C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eastAsia="fr-FR"/>
          <w14:ligatures w14:val="none"/>
        </w:rPr>
        <w:t>Exclusion des nouveau-nés à très haut risque (palivizumab restait l’option de référence).</w:t>
      </w:r>
    </w:p>
    <w:p w14:paraId="7CA70663" w14:textId="77777777" w:rsidR="00D026C2" w:rsidRPr="00D026C2" w:rsidRDefault="00D026C2" w:rsidP="00D026C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eastAsia="fr-FR"/>
          <w14:ligatures w14:val="none"/>
        </w:rPr>
        <w:t>Absence de bras comparatif direct avec le nirsevimab ou la vaccination maternelle.</w:t>
      </w:r>
    </w:p>
    <w:p w14:paraId="2EACF9C1" w14:textId="77777777" w:rsidR="00D026C2" w:rsidRPr="00D026C2" w:rsidRDefault="00D026C2" w:rsidP="00D026C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eastAsia="fr-FR"/>
          <w14:ligatures w14:val="none"/>
        </w:rPr>
        <w:t>Critères diagnostiques de gravité VRS pouvant différer d’autres essais contrôlés .​​</w:t>
      </w:r>
    </w:p>
    <w:p w14:paraId="3CF62945" w14:textId="77777777" w:rsidR="00D026C2" w:rsidRPr="00D026C2" w:rsidRDefault="003E0538" w:rsidP="00D026C2">
      <w:pPr>
        <w:spacing w:before="240" w:after="240" w:line="240" w:lineRule="auto"/>
        <w:rPr>
          <w:rFonts w:ascii="Segoe UI" w:eastAsia="Times New Roman" w:hAnsi="Segoe UI" w:cs="Segoe UI"/>
          <w:spacing w:val="1"/>
          <w:kern w:val="0"/>
          <w:lang w:eastAsia="fr-FR"/>
          <w14:ligatures w14:val="none"/>
        </w:rPr>
      </w:pPr>
      <w:r w:rsidRPr="003E0538">
        <w:rPr>
          <w:rFonts w:ascii="Times New Roman" w:eastAsia="Times New Roman" w:hAnsi="Times New Roman" w:cs="Times New Roman"/>
          <w:noProof/>
          <w:kern w:val="0"/>
          <w:lang w:eastAsia="fr-FR"/>
        </w:rPr>
        <w:pict w14:anchorId="4CAD4693">
          <v:rect id="_x0000_i1027" alt="" style="width:453.6pt;height:.05pt;mso-width-percent:0;mso-height-percent:0;mso-width-percent:0;mso-height-percent:0" o:hralign="center" o:hrstd="t" o:hr="t" fillcolor="#a0a0a0" stroked="f"/>
        </w:pict>
      </w:r>
    </w:p>
    <w:p w14:paraId="4A9A12D5" w14:textId="77777777" w:rsidR="00D026C2" w:rsidRPr="00D026C2" w:rsidRDefault="00D026C2" w:rsidP="00D026C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1"/>
          <w:kern w:val="0"/>
          <w:sz w:val="36"/>
          <w:szCs w:val="36"/>
          <w:lang w:eastAsia="fr-FR"/>
          <w14:ligatures w14:val="none"/>
        </w:rPr>
      </w:pPr>
      <w:r w:rsidRPr="00D026C2">
        <w:rPr>
          <w:rFonts w:ascii="Segoe UI" w:eastAsia="Times New Roman" w:hAnsi="Segoe UI" w:cs="Segoe UI"/>
          <w:b/>
          <w:bCs/>
          <w:spacing w:val="1"/>
          <w:kern w:val="0"/>
          <w:sz w:val="36"/>
          <w:szCs w:val="36"/>
          <w:lang w:eastAsia="fr-FR"/>
          <w14:ligatures w14:val="none"/>
        </w:rPr>
        <w:t>Mise en perspective selon l’état des connaissances</w:t>
      </w:r>
    </w:p>
    <w:p w14:paraId="13D15C42" w14:textId="77777777" w:rsidR="00D026C2" w:rsidRPr="00D026C2" w:rsidRDefault="00D026C2" w:rsidP="00D026C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b/>
          <w:bCs/>
          <w:spacing w:val="1"/>
          <w:kern w:val="0"/>
          <w:bdr w:val="single" w:sz="2" w:space="0" w:color="auto" w:frame="1"/>
          <w:lang w:eastAsia="fr-FR"/>
          <w14:ligatures w14:val="none"/>
        </w:rPr>
        <w:t>Nouveauté et confirmation</w:t>
      </w:r>
      <w:r w:rsidRPr="00D026C2">
        <w:rPr>
          <w:rFonts w:ascii="Segoe UI" w:eastAsia="Times New Roman" w:hAnsi="Segoe UI" w:cs="Segoe UI"/>
          <w:spacing w:val="1"/>
          <w:kern w:val="0"/>
          <w:lang w:eastAsia="fr-FR"/>
          <w14:ligatures w14:val="none"/>
        </w:rPr>
        <w:t> : L’étude confirme la stratégie d’immunisation passive comme standard, aux côtés du nirsevimab (Beyfortus) et de la vaccination maternelle (Abrysvo) ; le clesrovimab n’apporte pas de révolution mais élargit l’arsenal disponible.​</w:t>
      </w:r>
    </w:p>
    <w:p w14:paraId="61CD1283" w14:textId="77777777" w:rsidR="00D026C2" w:rsidRPr="00D026C2" w:rsidRDefault="00D026C2" w:rsidP="00D026C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b/>
          <w:bCs/>
          <w:spacing w:val="1"/>
          <w:kern w:val="0"/>
          <w:bdr w:val="single" w:sz="2" w:space="0" w:color="auto" w:frame="1"/>
          <w:lang w:eastAsia="fr-FR"/>
          <w14:ligatures w14:val="none"/>
        </w:rPr>
        <w:t>Synthèse avec la littérature</w:t>
      </w:r>
      <w:r w:rsidRPr="00D026C2">
        <w:rPr>
          <w:rFonts w:ascii="Segoe UI" w:eastAsia="Times New Roman" w:hAnsi="Segoe UI" w:cs="Segoe UI"/>
          <w:spacing w:val="1"/>
          <w:kern w:val="0"/>
          <w:lang w:eastAsia="fr-FR"/>
          <w14:ligatures w14:val="none"/>
        </w:rPr>
        <w:t> : La méta-analyse et les avis d’experts soutiennent l’usage des anticorps monoclonaux (nirsevimab, clesrovimab) pour tous les nourrissons entrant en saison RSV, sans avantage démontré d’un produit sur l’autre côté efficacité ou sécurité. Les guides de l’ACIP, CDC, et AAP recommandent indifféremment l’un ou l’autre, selon préférence, disponibilité et contexte.​</w:t>
      </w:r>
    </w:p>
    <w:p w14:paraId="134C10D2" w14:textId="77777777" w:rsidR="00D026C2" w:rsidRPr="00D026C2" w:rsidRDefault="00D026C2" w:rsidP="00D026C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b/>
          <w:bCs/>
          <w:spacing w:val="1"/>
          <w:kern w:val="0"/>
          <w:bdr w:val="single" w:sz="2" w:space="0" w:color="auto" w:frame="1"/>
          <w:lang w:eastAsia="fr-FR"/>
          <w14:ligatures w14:val="none"/>
        </w:rPr>
        <w:t>Références clés pour perspective</w:t>
      </w:r>
      <w:r w:rsidRPr="00D026C2">
        <w:rPr>
          <w:rFonts w:ascii="Segoe UI" w:eastAsia="Times New Roman" w:hAnsi="Segoe UI" w:cs="Segoe UI"/>
          <w:spacing w:val="1"/>
          <w:kern w:val="0"/>
          <w:lang w:eastAsia="fr-FR"/>
          <w14:ligatures w14:val="none"/>
        </w:rPr>
        <w:t> :</w:t>
      </w:r>
    </w:p>
    <w:p w14:paraId="682E0AF9" w14:textId="77777777" w:rsidR="00D026C2" w:rsidRPr="00D026C2" w:rsidRDefault="00D026C2" w:rsidP="00D026C2">
      <w:pPr>
        <w:numPr>
          <w:ilvl w:val="1"/>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eastAsia="fr-FR"/>
          <w14:ligatures w14:val="none"/>
        </w:rPr>
        <w:t>Li Y et al., Lancet 2022 : charge mondiale du VRS.​</w:t>
      </w:r>
    </w:p>
    <w:p w14:paraId="4967E59F" w14:textId="77777777" w:rsidR="00D026C2" w:rsidRPr="00D026C2" w:rsidRDefault="00D026C2" w:rsidP="00D026C2">
      <w:pPr>
        <w:numPr>
          <w:ilvl w:val="1"/>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eastAsia="fr-FR"/>
          <w14:ligatures w14:val="none"/>
        </w:rPr>
        <w:t>Hammitt LL et al., NEJM 2022 : efficacité du nirsevimab.​​</w:t>
      </w:r>
    </w:p>
    <w:p w14:paraId="31E0E592" w14:textId="77777777" w:rsidR="00D026C2" w:rsidRPr="00D026C2" w:rsidRDefault="00D026C2" w:rsidP="00D026C2">
      <w:pPr>
        <w:numPr>
          <w:ilvl w:val="1"/>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eastAsia="fr-FR"/>
          <w14:ligatures w14:val="none"/>
        </w:rPr>
        <w:t>Synthèse CDC/ACIP 2025.​</w:t>
      </w:r>
    </w:p>
    <w:p w14:paraId="1BD3DF98" w14:textId="77777777" w:rsidR="00D026C2" w:rsidRPr="00D026C2" w:rsidRDefault="003E0538" w:rsidP="00D026C2">
      <w:pPr>
        <w:spacing w:before="240" w:after="240" w:line="240" w:lineRule="auto"/>
        <w:rPr>
          <w:rFonts w:ascii="Segoe UI" w:eastAsia="Times New Roman" w:hAnsi="Segoe UI" w:cs="Segoe UI"/>
          <w:spacing w:val="1"/>
          <w:kern w:val="0"/>
          <w:lang w:eastAsia="fr-FR"/>
          <w14:ligatures w14:val="none"/>
        </w:rPr>
      </w:pPr>
      <w:r w:rsidRPr="003E0538">
        <w:rPr>
          <w:rFonts w:ascii="Times New Roman" w:eastAsia="Times New Roman" w:hAnsi="Times New Roman" w:cs="Times New Roman"/>
          <w:noProof/>
          <w:kern w:val="0"/>
          <w:lang w:eastAsia="fr-FR"/>
        </w:rPr>
        <w:pict w14:anchorId="17100885">
          <v:rect id="_x0000_i1026" alt="" style="width:453.6pt;height:.05pt;mso-width-percent:0;mso-height-percent:0;mso-width-percent:0;mso-height-percent:0" o:hralign="center" o:hrstd="t" o:hr="t" fillcolor="#a0a0a0" stroked="f"/>
        </w:pict>
      </w:r>
    </w:p>
    <w:p w14:paraId="2A357D9F" w14:textId="77777777" w:rsidR="00D026C2" w:rsidRPr="00D026C2" w:rsidRDefault="00D026C2" w:rsidP="00D026C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1"/>
          <w:kern w:val="0"/>
          <w:sz w:val="36"/>
          <w:szCs w:val="36"/>
          <w:lang w:eastAsia="fr-FR"/>
          <w14:ligatures w14:val="none"/>
        </w:rPr>
      </w:pPr>
      <w:r w:rsidRPr="00D026C2">
        <w:rPr>
          <w:rFonts w:ascii="Segoe UI" w:eastAsia="Times New Roman" w:hAnsi="Segoe UI" w:cs="Segoe UI"/>
          <w:b/>
          <w:bCs/>
          <w:spacing w:val="1"/>
          <w:kern w:val="0"/>
          <w:sz w:val="36"/>
          <w:szCs w:val="36"/>
          <w:lang w:eastAsia="fr-FR"/>
          <w14:ligatures w14:val="none"/>
        </w:rPr>
        <w:t>Contribution à la prise de décision clinique</w:t>
      </w:r>
    </w:p>
    <w:p w14:paraId="61210777" w14:textId="77777777" w:rsidR="00D026C2" w:rsidRPr="00D026C2" w:rsidRDefault="00D026C2" w:rsidP="00D026C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b/>
          <w:bCs/>
          <w:spacing w:val="1"/>
          <w:kern w:val="0"/>
          <w:bdr w:val="single" w:sz="2" w:space="0" w:color="auto" w:frame="1"/>
          <w:lang w:eastAsia="fr-FR"/>
          <w14:ligatures w14:val="none"/>
        </w:rPr>
        <w:t>Impact pour les cliniciens</w:t>
      </w:r>
      <w:r w:rsidRPr="00D026C2">
        <w:rPr>
          <w:rFonts w:ascii="Segoe UI" w:eastAsia="Times New Roman" w:hAnsi="Segoe UI" w:cs="Segoe UI"/>
          <w:spacing w:val="1"/>
          <w:kern w:val="0"/>
          <w:lang w:eastAsia="fr-FR"/>
          <w14:ligatures w14:val="none"/>
        </w:rPr>
        <w:t> : Cette étude valide l’utilisation saisonnière du clesrovimab pour protéger les nourrissons lors de leur première saison RSV, dans le même champ que les recommandations internationales pour le nirsevimab ou la vaccination maternelle.​</w:t>
      </w:r>
    </w:p>
    <w:p w14:paraId="4B283DBE" w14:textId="77777777" w:rsidR="00D026C2" w:rsidRPr="00D026C2" w:rsidRDefault="00D026C2" w:rsidP="00D026C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b/>
          <w:bCs/>
          <w:spacing w:val="1"/>
          <w:kern w:val="0"/>
          <w:bdr w:val="single" w:sz="2" w:space="0" w:color="auto" w:frame="1"/>
          <w:lang w:eastAsia="fr-FR"/>
          <w14:ligatures w14:val="none"/>
        </w:rPr>
        <w:lastRenderedPageBreak/>
        <w:t>Recommandation</w:t>
      </w:r>
      <w:r w:rsidRPr="00D026C2">
        <w:rPr>
          <w:rFonts w:ascii="Segoe UI" w:eastAsia="Times New Roman" w:hAnsi="Segoe UI" w:cs="Segoe UI"/>
          <w:spacing w:val="1"/>
          <w:kern w:val="0"/>
          <w:lang w:eastAsia="fr-FR"/>
          <w14:ligatures w14:val="none"/>
        </w:rPr>
        <w:t> : Administrer un anticorps monoclonal à tous les nourrissons ; le choix entre clesrovimab ou nirsevimab dépendra de la disponibilité locale, du coût, des préférences parentales, et du moment de la naissance par rapport à la saison RSV. Aucun produit n’est supérieur selon les données actuelles, mais clesrovimab offre une option pratique et efficace, en particulier là où l’accès au nirsevimab reste limité ou coûteux.​​</w:t>
      </w:r>
    </w:p>
    <w:p w14:paraId="61D56FDF" w14:textId="77777777" w:rsidR="00D026C2" w:rsidRPr="00D026C2" w:rsidRDefault="003E0538" w:rsidP="00D026C2">
      <w:pPr>
        <w:spacing w:before="240" w:after="240" w:line="240" w:lineRule="auto"/>
        <w:rPr>
          <w:rFonts w:ascii="Segoe UI" w:eastAsia="Times New Roman" w:hAnsi="Segoe UI" w:cs="Segoe UI"/>
          <w:spacing w:val="1"/>
          <w:kern w:val="0"/>
          <w:lang w:eastAsia="fr-FR"/>
          <w14:ligatures w14:val="none"/>
        </w:rPr>
      </w:pPr>
      <w:r w:rsidRPr="003E0538">
        <w:rPr>
          <w:rFonts w:ascii="Times New Roman" w:eastAsia="Times New Roman" w:hAnsi="Times New Roman" w:cs="Times New Roman"/>
          <w:noProof/>
          <w:kern w:val="0"/>
          <w:lang w:eastAsia="fr-FR"/>
        </w:rPr>
        <w:pict w14:anchorId="5CCFAB45">
          <v:rect id="_x0000_i1025" alt="" style="width:453.6pt;height:.05pt;mso-width-percent:0;mso-height-percent:0;mso-width-percent:0;mso-height-percent:0" o:hralign="center" o:hrstd="t" o:hr="t" fillcolor="#a0a0a0" stroked="f"/>
        </w:pict>
      </w:r>
    </w:p>
    <w:p w14:paraId="5431B3A6" w14:textId="77777777" w:rsidR="00D026C2" w:rsidRPr="00D026C2" w:rsidRDefault="00D026C2" w:rsidP="00D026C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1"/>
          <w:kern w:val="0"/>
          <w:sz w:val="36"/>
          <w:szCs w:val="36"/>
          <w:lang w:eastAsia="fr-FR"/>
          <w14:ligatures w14:val="none"/>
        </w:rPr>
      </w:pPr>
      <w:r w:rsidRPr="00D026C2">
        <w:rPr>
          <w:rFonts w:ascii="Segoe UI" w:eastAsia="Times New Roman" w:hAnsi="Segoe UI" w:cs="Segoe UI"/>
          <w:b/>
          <w:bCs/>
          <w:spacing w:val="1"/>
          <w:kern w:val="0"/>
          <w:sz w:val="36"/>
          <w:szCs w:val="36"/>
          <w:lang w:eastAsia="fr-FR"/>
          <w14:ligatures w14:val="none"/>
        </w:rPr>
        <w:t>RÉFÉRENCES</w:t>
      </w:r>
    </w:p>
    <w:p w14:paraId="11C5C7E4" w14:textId="77777777" w:rsidR="00D026C2" w:rsidRPr="00D026C2" w:rsidRDefault="00D026C2" w:rsidP="00D026C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val="en-CA" w:eastAsia="fr-FR"/>
          <w14:ligatures w14:val="none"/>
        </w:rPr>
        <w:t xml:space="preserve">NEJM 2025. « Clesrovimab for Prevention of RSV Disease in Healthy Infants ». </w:t>
      </w:r>
      <w:r w:rsidRPr="00D026C2">
        <w:rPr>
          <w:rFonts w:ascii="Segoe UI" w:eastAsia="Times New Roman" w:hAnsi="Segoe UI" w:cs="Segoe UI"/>
          <w:spacing w:val="1"/>
          <w:kern w:val="0"/>
          <w:lang w:eastAsia="fr-FR"/>
          <w14:ligatures w14:val="none"/>
        </w:rPr>
        <w:t>NCT04767373.​</w:t>
      </w:r>
    </w:p>
    <w:p w14:paraId="6B922E79" w14:textId="77777777" w:rsidR="00D026C2" w:rsidRPr="00D026C2" w:rsidRDefault="00D026C2" w:rsidP="00D026C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val="en-CA" w:eastAsia="fr-FR"/>
          <w14:ligatures w14:val="none"/>
        </w:rPr>
        <w:t xml:space="preserve">Li Y et al. Global burden of acute lower respiratory infections due to RSV. </w:t>
      </w:r>
      <w:r w:rsidRPr="00D026C2">
        <w:rPr>
          <w:rFonts w:ascii="Segoe UI" w:eastAsia="Times New Roman" w:hAnsi="Segoe UI" w:cs="Segoe UI"/>
          <w:spacing w:val="1"/>
          <w:kern w:val="0"/>
          <w:lang w:eastAsia="fr-FR"/>
          <w14:ligatures w14:val="none"/>
        </w:rPr>
        <w:t>Lancet 2022;399:2047-64.​</w:t>
      </w:r>
    </w:p>
    <w:p w14:paraId="620DBE15" w14:textId="77777777" w:rsidR="00D026C2" w:rsidRPr="00D026C2" w:rsidRDefault="00D026C2" w:rsidP="00D026C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val="en-CA" w:eastAsia="fr-FR"/>
          <w14:ligatures w14:val="none"/>
        </w:rPr>
        <w:t xml:space="preserve">Hammitt LL et al. Nirsevimab for prevention of RSV in healthy late-preterm and term infants. </w:t>
      </w:r>
      <w:r w:rsidRPr="00D026C2">
        <w:rPr>
          <w:rFonts w:ascii="Segoe UI" w:eastAsia="Times New Roman" w:hAnsi="Segoe UI" w:cs="Segoe UI"/>
          <w:spacing w:val="1"/>
          <w:kern w:val="0"/>
          <w:lang w:eastAsia="fr-FR"/>
          <w14:ligatures w14:val="none"/>
        </w:rPr>
        <w:t>NEJM 2022;386:837-46.​​</w:t>
      </w:r>
    </w:p>
    <w:p w14:paraId="44421BA6" w14:textId="77777777" w:rsidR="00D026C2" w:rsidRPr="00D026C2" w:rsidRDefault="00D026C2" w:rsidP="00D026C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fr-FR"/>
          <w14:ligatures w14:val="none"/>
        </w:rPr>
      </w:pPr>
      <w:r w:rsidRPr="00D026C2">
        <w:rPr>
          <w:rFonts w:ascii="Segoe UI" w:eastAsia="Times New Roman" w:hAnsi="Segoe UI" w:cs="Segoe UI"/>
          <w:spacing w:val="1"/>
          <w:kern w:val="0"/>
          <w:lang w:val="en-CA" w:eastAsia="fr-FR"/>
          <w14:ligatures w14:val="none"/>
        </w:rPr>
        <w:t xml:space="preserve">CDC / ACIP. Use of Clesrovimab for Prevention of Severe Respiratory Syncytial Virus Infection. </w:t>
      </w:r>
      <w:r w:rsidRPr="00D026C2">
        <w:rPr>
          <w:rFonts w:ascii="Segoe UI" w:eastAsia="Times New Roman" w:hAnsi="Segoe UI" w:cs="Segoe UI"/>
          <w:spacing w:val="1"/>
          <w:kern w:val="0"/>
          <w:lang w:eastAsia="fr-FR"/>
          <w14:ligatures w14:val="none"/>
        </w:rPr>
        <w:t>2025.​</w:t>
      </w:r>
    </w:p>
    <w:p w14:paraId="1E186721" w14:textId="77777777" w:rsidR="00D026C2" w:rsidRDefault="00D026C2"/>
    <w:sectPr w:rsidR="00D026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25E6"/>
    <w:multiLevelType w:val="multilevel"/>
    <w:tmpl w:val="47B4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66CA9"/>
    <w:multiLevelType w:val="multilevel"/>
    <w:tmpl w:val="C63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5353C"/>
    <w:multiLevelType w:val="multilevel"/>
    <w:tmpl w:val="080C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F12366"/>
    <w:multiLevelType w:val="multilevel"/>
    <w:tmpl w:val="6C3E23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CE1A56"/>
    <w:multiLevelType w:val="multilevel"/>
    <w:tmpl w:val="08E24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407345">
    <w:abstractNumId w:val="2"/>
  </w:num>
  <w:num w:numId="2" w16cid:durableId="1559199054">
    <w:abstractNumId w:val="4"/>
  </w:num>
  <w:num w:numId="3" w16cid:durableId="390273492">
    <w:abstractNumId w:val="3"/>
  </w:num>
  <w:num w:numId="4" w16cid:durableId="2018538483">
    <w:abstractNumId w:val="1"/>
  </w:num>
  <w:num w:numId="5" w16cid:durableId="1502770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C2"/>
    <w:rsid w:val="003E0538"/>
    <w:rsid w:val="00451416"/>
    <w:rsid w:val="00D026C2"/>
    <w:rsid w:val="00D302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DEC02"/>
  <w15:chartTrackingRefBased/>
  <w15:docId w15:val="{0489665C-E653-1945-B755-809C91AA2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02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02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026C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026C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026C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026C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026C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026C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026C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26C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026C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026C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026C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026C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026C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026C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026C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026C2"/>
    <w:rPr>
      <w:rFonts w:eastAsiaTheme="majorEastAsia" w:cstheme="majorBidi"/>
      <w:color w:val="272727" w:themeColor="text1" w:themeTint="D8"/>
    </w:rPr>
  </w:style>
  <w:style w:type="paragraph" w:styleId="Titre">
    <w:name w:val="Title"/>
    <w:basedOn w:val="Normal"/>
    <w:next w:val="Normal"/>
    <w:link w:val="TitreCar"/>
    <w:uiPriority w:val="10"/>
    <w:qFormat/>
    <w:rsid w:val="00D02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26C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026C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026C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026C2"/>
    <w:pPr>
      <w:spacing w:before="160"/>
      <w:jc w:val="center"/>
    </w:pPr>
    <w:rPr>
      <w:i/>
      <w:iCs/>
      <w:color w:val="404040" w:themeColor="text1" w:themeTint="BF"/>
    </w:rPr>
  </w:style>
  <w:style w:type="character" w:customStyle="1" w:styleId="CitationCar">
    <w:name w:val="Citation Car"/>
    <w:basedOn w:val="Policepardfaut"/>
    <w:link w:val="Citation"/>
    <w:uiPriority w:val="29"/>
    <w:rsid w:val="00D026C2"/>
    <w:rPr>
      <w:i/>
      <w:iCs/>
      <w:color w:val="404040" w:themeColor="text1" w:themeTint="BF"/>
    </w:rPr>
  </w:style>
  <w:style w:type="paragraph" w:styleId="Paragraphedeliste">
    <w:name w:val="List Paragraph"/>
    <w:basedOn w:val="Normal"/>
    <w:uiPriority w:val="34"/>
    <w:qFormat/>
    <w:rsid w:val="00D026C2"/>
    <w:pPr>
      <w:ind w:left="720"/>
      <w:contextualSpacing/>
    </w:pPr>
  </w:style>
  <w:style w:type="character" w:styleId="Accentuationintense">
    <w:name w:val="Intense Emphasis"/>
    <w:basedOn w:val="Policepardfaut"/>
    <w:uiPriority w:val="21"/>
    <w:qFormat/>
    <w:rsid w:val="00D026C2"/>
    <w:rPr>
      <w:i/>
      <w:iCs/>
      <w:color w:val="0F4761" w:themeColor="accent1" w:themeShade="BF"/>
    </w:rPr>
  </w:style>
  <w:style w:type="paragraph" w:styleId="Citationintense">
    <w:name w:val="Intense Quote"/>
    <w:basedOn w:val="Normal"/>
    <w:next w:val="Normal"/>
    <w:link w:val="CitationintenseCar"/>
    <w:uiPriority w:val="30"/>
    <w:qFormat/>
    <w:rsid w:val="00D02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026C2"/>
    <w:rPr>
      <w:i/>
      <w:iCs/>
      <w:color w:val="0F4761" w:themeColor="accent1" w:themeShade="BF"/>
    </w:rPr>
  </w:style>
  <w:style w:type="character" w:styleId="Rfrenceintense">
    <w:name w:val="Intense Reference"/>
    <w:basedOn w:val="Policepardfaut"/>
    <w:uiPriority w:val="32"/>
    <w:qFormat/>
    <w:rsid w:val="00D026C2"/>
    <w:rPr>
      <w:b/>
      <w:bCs/>
      <w:smallCaps/>
      <w:color w:val="0F4761" w:themeColor="accent1" w:themeShade="BF"/>
      <w:spacing w:val="5"/>
    </w:rPr>
  </w:style>
  <w:style w:type="paragraph" w:customStyle="1" w:styleId="my-2">
    <w:name w:val="my-2"/>
    <w:basedOn w:val="Normal"/>
    <w:rsid w:val="00D026C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D026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744</Words>
  <Characters>4098</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 Moussa TENGUIANO</dc:creator>
  <cp:keywords/>
  <dc:description/>
  <cp:lastModifiedBy>Saa Moussa TENGUIANO</cp:lastModifiedBy>
  <cp:revision>1</cp:revision>
  <dcterms:created xsi:type="dcterms:W3CDTF">2025-11-16T00:56:00Z</dcterms:created>
  <dcterms:modified xsi:type="dcterms:W3CDTF">2025-11-16T22:29:00Z</dcterms:modified>
</cp:coreProperties>
</file>