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1B55" w:color="auto" w:val="clear"/>
          </w:tcPr>
          <w:p>
            <w:pPr>
              <w:spacing w:before="440" w:after="80"/>
              <w:ind w:left="340"/>
            </w:pPr>
            <w:r>
              <w:rPr>
                <w:rFonts w:ascii="맑은 고딕" w:hAnsi="맑은 고딕" w:eastAsia="맑은 고딕"/>
                <w:rFonts w:ascii="맑은 고딕" w:hAnsi="맑은 고딕"/>
                <w:b w:val="0"/>
                <w:i/>
                <w:color w:val="CCDDF0"/>
                <w:sz w:val="20"/>
              </w:rPr>
              <w:t>기관 개요 보고서</w:t>
              <w:br/>
            </w: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52"/>
              </w:rPr>
              <w:t>과학기술정책연구원</w:t>
              <w:br/>
            </w:r>
            <w:r>
              <w:rPr>
                <w:rFonts w:ascii="맑은 고딕" w:hAnsi="맑은 고딕" w:eastAsia="맑은 고딕"/>
                <w:rFonts w:ascii="맑은 고딕" w:hAnsi="맑은 고딕"/>
                <w:b w:val="0"/>
                <w:i w:val="0"/>
                <w:color w:val="CCDDF0"/>
                <w:sz w:val="22"/>
              </w:rPr>
              <w:t>Science and Technology Policy Institute (STEPI)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7722" w:color="auto" w:val="clear"/>
          </w:tcPr>
          <w:p>
            <w:pPr>
              <w:spacing w:before="80" w:after="80"/>
              <w:ind w:left="340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설립: 1987년   |   위치: 세종시   |   주무부처: 과학기술정보통신부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  <w:shd w:fill="001B55" w:color="auto" w:val="clear"/>
          </w:tcPr>
          <w:p>
            <w:pPr>
              <w:spacing w:before="140" w:after="140"/>
              <w:jc w:val="center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E87722"/>
                <w:sz w:val="18"/>
              </w:rPr>
              <w:t>01</w:t>
            </w:r>
          </w:p>
        </w:tc>
        <w:tc>
          <w:tcPr>
            <w:tcW w:type="dxa" w:w="4703"/>
            <w:shd w:fill="003087" w:color="auto" w:val="clear"/>
          </w:tcPr>
          <w:p>
            <w:pPr>
              <w:spacing w:before="140" w:after="140"/>
              <w:ind w:left="227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26"/>
              </w:rPr>
              <w:t>서론</w:t>
            </w:r>
          </w:p>
        </w:tc>
      </w:tr>
    </w:tbl>
    <w:p>
      <w:pPr>
        <w:spacing w:after="60"/>
      </w:pPr>
    </w:p>
    <w:p>
      <w:pPr>
        <w:spacing w:after="100" w:line="380" w:lineRule="exact"/>
      </w:pPr>
      <w:r>
        <w:rPr>
          <w:rFonts w:ascii="맑은 고딕" w:hAnsi="맑은 고딕" w:eastAsia="맑은 고딕"/>
          <w:rFonts w:ascii="맑은 고딕" w:hAnsi="맑은 고딕"/>
          <w:b w:val="0"/>
          <w:i w:val="0"/>
          <w:color w:val="374151"/>
          <w:sz w:val="21"/>
        </w:rPr>
        <w:t>과학기술정책연구원(STEPI)은 1987년 대한민국 정부의 출연으로 설립된 정부출연연구기관(GFRI)입니다. 과학기술정보통신부(MSIT) 산하에서 운영되며 세종시에 본원을 두고 있습니다.</w:t>
      </w:r>
    </w:p>
    <w:p>
      <w:pPr>
        <w:spacing w:after="100" w:line="380" w:lineRule="exact"/>
      </w:pPr>
      <w:r>
        <w:rPr>
          <w:rFonts w:ascii="맑은 고딕" w:hAnsi="맑은 고딕" w:eastAsia="맑은 고딕"/>
          <w:rFonts w:ascii="맑은 고딕" w:hAnsi="맑은 고딕"/>
          <w:b w:val="0"/>
          <w:i w:val="0"/>
          <w:color w:val="374151"/>
          <w:sz w:val="21"/>
        </w:rPr>
        <w:t>STEPI의 법적 사명은 국가 과학기술혁신(STI) 정책에 관한 독립적이고 증거 기반의 연구를 수행하여 국가 거버넌스를 지원하는 것입니다. 한국의 장기 STI 전략을 설계·평가·개선하는 핵심 분석 기관으로 기능합니다.</w:t>
      </w:r>
    </w:p>
    <w:p>
      <w:pPr>
        <w:spacing w:after="100" w:line="380" w:lineRule="exact"/>
      </w:pPr>
      <w:r>
        <w:rPr>
          <w:rFonts w:ascii="맑은 고딕" w:hAnsi="맑은 고딕" w:eastAsia="맑은 고딕"/>
          <w:rFonts w:ascii="맑은 고딕" w:hAnsi="맑은 고딕"/>
          <w:b w:val="0"/>
          <w:i w:val="0"/>
          <w:color w:val="374151"/>
          <w:sz w:val="21"/>
        </w:rPr>
        <w:t>연구원은 세 가지 핵심 기능 축을 중심으로 운영됩니다: 정책 연구 및 분석, 통계 데이터 생산, 국제 STI 협력. 이를 통해 과학기술기본계획(5개년), 과학기술기본법, 국가 R&amp;D 예산 배분 과정에 직접적인 기여를 합니다.</w:t>
      </w:r>
    </w:p>
    <w:p>
      <w:pPr>
        <w:spacing w:before="40" w:after="40"/>
        <w:pBdr>
          <w:bottom w:val="single" w:sz="4" w:space="1" w:color="D1D5DB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  <w:shd w:fill="001B55" w:color="auto" w:val="clear"/>
          </w:tcPr>
          <w:p>
            <w:pPr>
              <w:spacing w:before="140" w:after="140"/>
              <w:jc w:val="center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E87722"/>
                <w:sz w:val="18"/>
              </w:rPr>
              <w:t>02</w:t>
            </w:r>
          </w:p>
        </w:tc>
        <w:tc>
          <w:tcPr>
            <w:tcW w:type="dxa" w:w="4703"/>
            <w:shd w:fill="003087" w:color="auto" w:val="clear"/>
          </w:tcPr>
          <w:p>
            <w:pPr>
              <w:spacing w:before="140" w:after="140"/>
              <w:ind w:left="227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26"/>
              </w:rPr>
              <w:t>핵심 연구 분야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  <w:shd w:fill="003087" w:color="auto" w:val="clear"/>
          </w:tcPr>
          <w:p>
            <w:pPr>
              <w:spacing w:before="120" w:after="120"/>
              <w:jc w:val="center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28"/>
              </w:rPr>
              <w:t>01</w:t>
            </w:r>
          </w:p>
        </w:tc>
        <w:tc>
          <w:tcPr>
            <w:tcW w:type="dxa" w:w="4703"/>
            <w:shd w:fill="EBF3FB" w:color="auto" w:val="clear"/>
          </w:tcPr>
          <w:p>
            <w:pPr>
              <w:spacing w:before="120" w:after="120"/>
              <w:ind w:left="170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003087"/>
                <w:sz w:val="21"/>
              </w:rPr>
              <w:t>국가혁신시스템(NIS) 분석</w:t>
              <w:br/>
            </w:r>
            <w:r>
              <w:rPr>
                <w:rFonts w:ascii="맑은 고딕" w:hAnsi="맑은 고딕" w:eastAsia="맑은 고딕"/>
                <w:rFonts w:ascii="맑은 고딕" w:hAnsi="맑은 고딕"/>
                <w:b w:val="0"/>
                <w:i w:val="0"/>
                <w:color w:val="374151"/>
                <w:sz w:val="19"/>
              </w:rPr>
              <w:t>산·학·연 협력 구조, 기술이전 메커니즘, 혁신 클러스터 역동성 등 한국의 국가 혁신 생태계를 체계적으로 분석하고 평가합니다.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  <w:shd w:fill="003087" w:color="auto" w:val="clear"/>
          </w:tcPr>
          <w:p>
            <w:pPr>
              <w:spacing w:before="120" w:after="120"/>
              <w:jc w:val="center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28"/>
              </w:rPr>
              <w:t>02</w:t>
            </w:r>
          </w:p>
        </w:tc>
        <w:tc>
          <w:tcPr>
            <w:tcW w:type="dxa" w:w="4703"/>
            <w:shd w:fill="EBF3FB" w:color="auto" w:val="clear"/>
          </w:tcPr>
          <w:p>
            <w:pPr>
              <w:spacing w:before="120" w:after="120"/>
              <w:ind w:left="170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003087"/>
                <w:sz w:val="21"/>
              </w:rPr>
              <w:t>R&amp;D 투자 및 프로그램 평가</w:t>
              <w:br/>
            </w:r>
            <w:r>
              <w:rPr>
                <w:rFonts w:ascii="맑은 고딕" w:hAnsi="맑은 고딕" w:eastAsia="맑은 고딕"/>
                <w:rFonts w:ascii="맑은 고딕" w:hAnsi="맑은 고딕"/>
                <w:b w:val="0"/>
                <w:i w:val="0"/>
                <w:color w:val="374151"/>
                <w:sz w:val="19"/>
              </w:rPr>
              <w:t>국가 R&amp;D 지출의 효율성과 사회적 수익률을 평가하고, 국가과학기술자문회의에 예산 배분 우선순위와 평가 프레임워크를 제안합니다.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  <w:shd w:fill="003087" w:color="auto" w:val="clear"/>
          </w:tcPr>
          <w:p>
            <w:pPr>
              <w:spacing w:before="120" w:after="120"/>
              <w:jc w:val="center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28"/>
              </w:rPr>
              <w:t>03</w:t>
            </w:r>
          </w:p>
        </w:tc>
        <w:tc>
          <w:tcPr>
            <w:tcW w:type="dxa" w:w="4703"/>
            <w:shd w:fill="EBF3FB" w:color="auto" w:val="clear"/>
          </w:tcPr>
          <w:p>
            <w:pPr>
              <w:spacing w:before="120" w:after="120"/>
              <w:ind w:left="170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003087"/>
                <w:sz w:val="21"/>
              </w:rPr>
              <w:t>기술예측 및 미래전망</w:t>
              <w:br/>
            </w:r>
            <w:r>
              <w:rPr>
                <w:rFonts w:ascii="맑은 고딕" w:hAnsi="맑은 고딕" w:eastAsia="맑은 고딕"/>
                <w:rFonts w:ascii="맑은 고딕" w:hAnsi="맑은 고딕"/>
                <w:b w:val="0"/>
                <w:i w:val="0"/>
                <w:color w:val="374151"/>
                <w:sz w:val="19"/>
              </w:rPr>
              <w:t>격년으로 실시하는 한국기술예측조사를 포함한 체계적인 기술예측 활동을 통해 10~20년 후 등장 기술과 그 사회경제적 함의를 분석합니다.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  <w:shd w:fill="003087" w:color="auto" w:val="clear"/>
          </w:tcPr>
          <w:p>
            <w:pPr>
              <w:spacing w:before="120" w:after="120"/>
              <w:jc w:val="center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28"/>
              </w:rPr>
              <w:t>04</w:t>
            </w:r>
          </w:p>
        </w:tc>
        <w:tc>
          <w:tcPr>
            <w:tcW w:type="dxa" w:w="4703"/>
            <w:shd w:fill="EBF3FB" w:color="auto" w:val="clear"/>
          </w:tcPr>
          <w:p>
            <w:pPr>
              <w:spacing w:before="120" w:after="120"/>
              <w:ind w:left="170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003087"/>
                <w:sz w:val="21"/>
              </w:rPr>
              <w:t>과학기술 인력 연구</w:t>
              <w:br/>
            </w:r>
            <w:r>
              <w:rPr>
                <w:rFonts w:ascii="맑은 고딕" w:hAnsi="맑은 고딕" w:eastAsia="맑은 고딕"/>
                <w:rFonts w:ascii="맑은 고딕" w:hAnsi="맑은 고딕"/>
                <w:b w:val="0"/>
                <w:i w:val="0"/>
                <w:color w:val="374151"/>
                <w:sz w:val="19"/>
              </w:rPr>
              <w:t>이공계 인력의 공급·수요·질적 수준을 분석하고, 대학원 교육 정책, 연구자 경력경로, 첨단 기술 분야 인력난 해소 전략을 연구합니다.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  <w:shd w:fill="003087" w:color="auto" w:val="clear"/>
          </w:tcPr>
          <w:p>
            <w:pPr>
              <w:spacing w:before="120" w:after="120"/>
              <w:jc w:val="center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28"/>
              </w:rPr>
              <w:t>05</w:t>
            </w:r>
          </w:p>
        </w:tc>
        <w:tc>
          <w:tcPr>
            <w:tcW w:type="dxa" w:w="4703"/>
            <w:shd w:fill="EBF3FB" w:color="auto" w:val="clear"/>
          </w:tcPr>
          <w:p>
            <w:pPr>
              <w:spacing w:before="120" w:after="120"/>
              <w:ind w:left="170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003087"/>
                <w:sz w:val="21"/>
              </w:rPr>
              <w:t>규제과학 및 기술 거버넌스</w:t>
              <w:br/>
            </w:r>
            <w:r>
              <w:rPr>
                <w:rFonts w:ascii="맑은 고딕" w:hAnsi="맑은 고딕" w:eastAsia="맑은 고딕"/>
                <w:rFonts w:ascii="맑은 고딕" w:hAnsi="맑은 고딕"/>
                <w:b w:val="0"/>
                <w:i w:val="0"/>
                <w:color w:val="374151"/>
                <w:sz w:val="19"/>
              </w:rPr>
              <w:t>인공지능·바이오기술·양자컴퓨팅 등 신흥기술에 관한 규제 프레임워크를 연구하고, 혁신 촉진과 공공 안전·윤리 간 균형을 위한 정책 방안을 제시합니다.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  <w:shd w:fill="003087" w:color="auto" w:val="clear"/>
          </w:tcPr>
          <w:p>
            <w:pPr>
              <w:spacing w:before="120" w:after="120"/>
              <w:jc w:val="center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28"/>
              </w:rPr>
              <w:t>06</w:t>
            </w:r>
          </w:p>
        </w:tc>
        <w:tc>
          <w:tcPr>
            <w:tcW w:type="dxa" w:w="4703"/>
            <w:shd w:fill="EBF3FB" w:color="auto" w:val="clear"/>
          </w:tcPr>
          <w:p>
            <w:pPr>
              <w:spacing w:before="120" w:after="120"/>
              <w:ind w:left="170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003087"/>
                <w:sz w:val="21"/>
              </w:rPr>
              <w:t>국제 STI 협력</w:t>
              <w:br/>
            </w:r>
            <w:r>
              <w:rPr>
                <w:rFonts w:ascii="맑은 고딕" w:hAnsi="맑은 고딕" w:eastAsia="맑은 고딕"/>
                <w:rFonts w:ascii="맑은 고딕" w:hAnsi="맑은 고딕"/>
                <w:b w:val="0"/>
                <w:i w:val="0"/>
                <w:color w:val="374151"/>
                <w:sz w:val="19"/>
              </w:rPr>
              <w:t>양자·다자 STI 파트너십을 분석하고, OECD 회원국 대비 한국의 혁신 수준을 벤치마킹하며, EU·미국·역내 주요국과의 국제 공동연구 협력 방안을 자문합니다.</w:t>
            </w:r>
          </w:p>
        </w:tc>
      </w:tr>
    </w:tbl>
    <w:p>
      <w:pPr>
        <w:spacing w:after="60"/>
      </w:pPr>
    </w:p>
    <w:p>
      <w:pPr>
        <w:spacing w:before="40" w:after="40"/>
        <w:pBdr>
          <w:bottom w:val="single" w:sz="4" w:space="1" w:color="D1D5DB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  <w:shd w:fill="001B55" w:color="auto" w:val="clear"/>
          </w:tcPr>
          <w:p>
            <w:pPr>
              <w:spacing w:before="140" w:after="140"/>
              <w:jc w:val="center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E87722"/>
                <w:sz w:val="18"/>
              </w:rPr>
              <w:t>03</w:t>
            </w:r>
          </w:p>
        </w:tc>
        <w:tc>
          <w:tcPr>
            <w:tcW w:type="dxa" w:w="4703"/>
            <w:shd w:fill="003087" w:color="auto" w:val="clear"/>
          </w:tcPr>
          <w:p>
            <w:pPr>
              <w:spacing w:before="140" w:after="140"/>
              <w:ind w:left="227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26"/>
              </w:rPr>
              <w:t>정책 기여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맑은 고딕" w:hAnsi="맑은 고딕" w:eastAsia="맑은 고딕"/>
          <w:rFonts w:ascii="맑은 고딕" w:hAnsi="맑은 고딕"/>
          <w:b w:val="0"/>
          <w:i w:val="0"/>
          <w:color w:val="374151"/>
          <w:sz w:val="21"/>
        </w:rPr>
        <w:t>STEPI의 연구 성과는 구체적인 정책 수단과 입법 프레임워크로 전환됩니다. 다음은 가장 대표적인 정책 기여 사례입니다.</w:t>
      </w:r>
    </w:p>
    <w:p>
      <w:pPr>
        <w:spacing w:before="120" w:after="40"/>
      </w:pPr>
      <w:r>
        <w:rPr>
          <w:rFonts w:ascii="맑은 고딕" w:hAnsi="맑은 고딕" w:eastAsia="맑은 고딕"/>
          <w:rFonts w:ascii="맑은 고딕" w:hAnsi="맑은 고딕"/>
          <w:b/>
          <w:i w:val="0"/>
          <w:color w:val="E87722"/>
          <w:sz w:val="21"/>
        </w:rPr>
        <w:t xml:space="preserve">  1  </w:t>
      </w:r>
      <w:r>
        <w:rPr>
          <w:rFonts w:ascii="맑은 고딕" w:hAnsi="맑은 고딕" w:eastAsia="맑은 고딕"/>
          <w:rFonts w:ascii="맑은 고딕" w:hAnsi="맑은 고딕"/>
          <w:b/>
          <w:i w:val="0"/>
          <w:color w:val="003087"/>
          <w:sz w:val="21"/>
        </w:rPr>
        <w:t>과학기술기본계획(5개년)</w:t>
      </w:r>
    </w:p>
    <w:p>
      <w:pPr>
        <w:spacing w:after="80" w:line="360" w:lineRule="exact"/>
        <w:ind w:left="454"/>
      </w:pPr>
      <w:r>
        <w:rPr>
          <w:rFonts w:ascii="맑은 고딕" w:hAnsi="맑은 고딕" w:eastAsia="맑은 고딕"/>
          <w:rFonts w:ascii="맑은 고딕" w:hAnsi="맑은 고딕"/>
          <w:b w:val="0"/>
          <w:i w:val="0"/>
          <w:color w:val="374151"/>
          <w:sz w:val="20"/>
        </w:rPr>
        <w:t>STEPI는 역대 과학기술기본계획의 분석적 토대를 제공합니다. 진단 보고서, 기술격차 분석, 이해관계자 조사 데이터가 각 계획의 전략적 우선순위에 직접 반영됩니다.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120" w:after="40"/>
      </w:pPr>
      <w:r>
        <w:rPr>
          <w:rFonts w:ascii="맑은 고딕" w:hAnsi="맑은 고딕" w:eastAsia="맑은 고딕"/>
          <w:rFonts w:ascii="맑은 고딕" w:hAnsi="맑은 고딕"/>
          <w:b/>
          <w:i w:val="0"/>
          <w:color w:val="E87722"/>
          <w:sz w:val="21"/>
        </w:rPr>
        <w:t xml:space="preserve">  2  </w:t>
      </w:r>
      <w:r>
        <w:rPr>
          <w:rFonts w:ascii="맑은 고딕" w:hAnsi="맑은 고딕" w:eastAsia="맑은 고딕"/>
          <w:rFonts w:ascii="맑은 고딕" w:hAnsi="맑은 고딕"/>
          <w:b/>
          <w:i w:val="0"/>
          <w:color w:val="003087"/>
          <w:sz w:val="21"/>
        </w:rPr>
        <w:t>한국기업혁신조사(KIS)</w:t>
      </w:r>
    </w:p>
    <w:p>
      <w:pPr>
        <w:spacing w:after="80" w:line="360" w:lineRule="exact"/>
        <w:ind w:left="454"/>
      </w:pPr>
      <w:r>
        <w:rPr>
          <w:rFonts w:ascii="맑은 고딕" w:hAnsi="맑은 고딕" w:eastAsia="맑은 고딕"/>
          <w:rFonts w:ascii="맑은 고딕" w:hAnsi="맑은 고딕"/>
          <w:b w:val="0"/>
          <w:i w:val="0"/>
          <w:color w:val="374151"/>
          <w:sz w:val="20"/>
        </w:rPr>
        <w:t>1996년 이후 격년으로 발간되는 KIS는 제조업·서비스업의 혁신 활동을 측정하는 핵심 통계 조사입니다. OECD 오슬로 매뉴얼을 준수하며 Eurostat 및 OECD에 국제 비교용 데이터를 제출합니다.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120" w:after="40"/>
      </w:pPr>
      <w:r>
        <w:rPr>
          <w:rFonts w:ascii="맑은 고딕" w:hAnsi="맑은 고딕" w:eastAsia="맑은 고딕"/>
          <w:rFonts w:ascii="맑은 고딕" w:hAnsi="맑은 고딕"/>
          <w:b/>
          <w:i w:val="0"/>
          <w:color w:val="E87722"/>
          <w:sz w:val="21"/>
        </w:rPr>
        <w:t xml:space="preserve">  3  </w:t>
      </w:r>
      <w:r>
        <w:rPr>
          <w:rFonts w:ascii="맑은 고딕" w:hAnsi="맑은 고딕" w:eastAsia="맑은 고딕"/>
          <w:rFonts w:ascii="맑은 고딕" w:hAnsi="맑은 고딕"/>
          <w:b/>
          <w:i w:val="0"/>
          <w:color w:val="003087"/>
          <w:sz w:val="21"/>
        </w:rPr>
        <w:t>연구개발활동조사(R&amp;D 통계연보)</w:t>
      </w:r>
    </w:p>
    <w:p>
      <w:pPr>
        <w:spacing w:after="80" w:line="360" w:lineRule="exact"/>
        <w:ind w:left="454"/>
      </w:pPr>
      <w:r>
        <w:rPr>
          <w:rFonts w:ascii="맑은 고딕" w:hAnsi="맑은 고딕" w:eastAsia="맑은 고딕"/>
          <w:rFonts w:ascii="맑은 고딕" w:hAnsi="맑은 고딕"/>
          <w:b w:val="0"/>
          <w:i w:val="0"/>
          <w:color w:val="374151"/>
          <w:sz w:val="20"/>
        </w:rPr>
        <w:t>한국의 R&amp;D 투자, 연구원 수, 특허 활동에 관한 권위 있는 연간 데이터를 편찬·발행하며, OECD 주요과학기술지표(MSTI)에서 공식 인용 출처로 활용됩니다.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120" w:after="40"/>
      </w:pPr>
      <w:r>
        <w:rPr>
          <w:rFonts w:ascii="맑은 고딕" w:hAnsi="맑은 고딕" w:eastAsia="맑은 고딕"/>
          <w:rFonts w:ascii="맑은 고딕" w:hAnsi="맑은 고딕"/>
          <w:b/>
          <w:i w:val="0"/>
          <w:color w:val="E87722"/>
          <w:sz w:val="21"/>
        </w:rPr>
        <w:t xml:space="preserve">  4  </w:t>
      </w:r>
      <w:r>
        <w:rPr>
          <w:rFonts w:ascii="맑은 고딕" w:hAnsi="맑은 고딕" w:eastAsia="맑은 고딕"/>
          <w:rFonts w:ascii="맑은 고딕" w:hAnsi="맑은 고딕"/>
          <w:b/>
          <w:i w:val="0"/>
          <w:color w:val="003087"/>
          <w:sz w:val="21"/>
        </w:rPr>
        <w:t>기술수준평가</w:t>
      </w:r>
    </w:p>
    <w:p>
      <w:pPr>
        <w:spacing w:after="80" w:line="360" w:lineRule="exact"/>
        <w:ind w:left="454"/>
      </w:pPr>
      <w:r>
        <w:rPr>
          <w:rFonts w:ascii="맑은 고딕" w:hAnsi="맑은 고딕" w:eastAsia="맑은 고딕"/>
          <w:rFonts w:ascii="맑은 고딕" w:hAnsi="맑은 고딕"/>
          <w:b w:val="0"/>
          <w:i w:val="0"/>
          <w:color w:val="374151"/>
          <w:sz w:val="20"/>
        </w:rPr>
        <w:t>분야별 전문가 패널과 협력하여 120개 이상의 전략 기술 분야에서 한국의 기술 수준을 미국·EU·일본·중국과 비교하며, 국가 R&amp;D 사업 우선순위 설정에 직결됩니다.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120" w:after="40"/>
      </w:pPr>
      <w:r>
        <w:rPr>
          <w:rFonts w:ascii="맑은 고딕" w:hAnsi="맑은 고딕" w:eastAsia="맑은 고딕"/>
          <w:rFonts w:ascii="맑은 고딕" w:hAnsi="맑은 고딕"/>
          <w:b/>
          <w:i w:val="0"/>
          <w:color w:val="E87722"/>
          <w:sz w:val="21"/>
        </w:rPr>
        <w:t xml:space="preserve">  5  </w:t>
      </w:r>
      <w:r>
        <w:rPr>
          <w:rFonts w:ascii="맑은 고딕" w:hAnsi="맑은 고딕" w:eastAsia="맑은 고딕"/>
          <w:rFonts w:ascii="맑은 고딕" w:hAnsi="맑은 고딕"/>
          <w:b/>
          <w:i w:val="0"/>
          <w:color w:val="003087"/>
          <w:sz w:val="21"/>
        </w:rPr>
        <w:t>AI 및 신흥기술 거버넌스 프레임워크</w:t>
      </w:r>
    </w:p>
    <w:p>
      <w:pPr>
        <w:spacing w:after="80" w:line="360" w:lineRule="exact"/>
        <w:ind w:left="454"/>
      </w:pPr>
      <w:r>
        <w:rPr>
          <w:rFonts w:ascii="맑은 고딕" w:hAnsi="맑은 고딕" w:eastAsia="맑은 고딕"/>
          <w:rFonts w:ascii="맑은 고딕" w:hAnsi="맑은 고딕"/>
          <w:b w:val="0"/>
          <w:i w:val="0"/>
          <w:color w:val="374151"/>
          <w:sz w:val="20"/>
        </w:rPr>
        <w:t>한국의 국가 인공지능 전략(2019) 수립과 이후 AI법 논의에 기여하는 정책 제언서 및 입법 권고안을 작성하였으며, 알고리즘 투명성·공공부문 AI 활용 조항에 직접 영향을 미쳤습니다.</w:t>
      </w:r>
    </w:p>
    <w:p>
      <w:pPr>
        <w:spacing w:before="40" w:after="40"/>
        <w:pBdr>
          <w:bottom w:val="single" w:sz="4" w:space="1" w:color="D1D5DB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  <w:shd w:fill="001B55" w:color="auto" w:val="clear"/>
          </w:tcPr>
          <w:p>
            <w:pPr>
              <w:spacing w:before="140" w:after="140"/>
              <w:jc w:val="center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E87722"/>
                <w:sz w:val="18"/>
              </w:rPr>
              <w:t>04</w:t>
            </w:r>
          </w:p>
        </w:tc>
        <w:tc>
          <w:tcPr>
            <w:tcW w:type="dxa" w:w="4703"/>
            <w:shd w:fill="003087" w:color="auto" w:val="clear"/>
          </w:tcPr>
          <w:p>
            <w:pPr>
              <w:spacing w:before="140" w:after="140"/>
              <w:ind w:left="227"/>
            </w:pPr>
            <w:r>
              <w:rPr>
                <w:rFonts w:ascii="맑은 고딕" w:hAnsi="맑은 고딕" w:eastAsia="맑은 고딕"/>
                <w:rFonts w:ascii="맑은 고딕" w:hAnsi="맑은 고딕"/>
                <w:b/>
                <w:i w:val="0"/>
                <w:color w:val="FFFFFF"/>
                <w:sz w:val="26"/>
              </w:rPr>
              <w:t>결론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1B55" w:color="auto" w:val="clear"/>
            <w:tcBorders>
              <w:top w:val="single" w:sz="12" w:color="E87722"/>
              <w:left w:val="single" w:sz="12" w:color="E87722"/>
              <w:bottom w:val="single" w:sz="12" w:color="E87722"/>
              <w:right w:val="single" w:sz="12" w:color="E87722"/>
            </w:tcBorders>
          </w:tcPr>
          <w:p>
            <w:pPr>
              <w:spacing w:before="160" w:after="120" w:line="380" w:lineRule="exact"/>
              <w:ind w:left="283" w:right="283"/>
            </w:pPr>
            <w:r>
              <w:rPr>
                <w:rFonts w:ascii="맑은 고딕" w:hAnsi="맑은 고딕" w:eastAsia="맑은 고딕"/>
                <w:rFonts w:ascii="맑은 고딕" w:hAnsi="맑은 고딕"/>
                <w:b w:val="0"/>
                <w:i w:val="0"/>
                <w:color w:val="FFFFFF"/>
                <w:sz w:val="21"/>
              </w:rPr>
              <w:t>STEPI는 한국 과학기술 거버넌스 체계의 핵심 기관으로서, 약 40년에 걸쳐 급격한 산업 전환과 압축적 기술 추격이라는 국내 환경 속에서 증거 기반 STI 정책 수립의 관행을 제도화해 왔습니다.</w:t>
            </w:r>
          </w:p>
          <w:p>
            <w:pPr>
              <w:spacing w:before="120" w:after="120" w:line="380" w:lineRule="exact"/>
              <w:ind w:left="283" w:right="283"/>
            </w:pPr>
            <w:r>
              <w:rPr>
                <w:rFonts w:ascii="맑은 고딕" w:hAnsi="맑은 고딕" w:eastAsia="맑은 고딕"/>
                <w:rFonts w:ascii="맑은 고딕" w:hAnsi="맑은 고딕"/>
                <w:b w:val="0"/>
                <w:i w:val="0"/>
                <w:color w:val="FFFFFF"/>
                <w:sz w:val="21"/>
              </w:rPr>
              <w:t>정책 연구 기관이자 통계 당국이라는 이중적 역할 덕분에, STEPI는 의제 설정·전략 설계에서부터 프로그램 평가와 법률 개정에 이르는 정책 전 주기에 걸쳐 독보적인 영향력을 행사합니다.</w:t>
            </w:r>
          </w:p>
          <w:p>
            <w:pPr>
              <w:spacing w:before="120" w:after="280" w:line="380" w:lineRule="exact"/>
              <w:ind w:left="283" w:right="283"/>
            </w:pPr>
            <w:r>
              <w:rPr>
                <w:rFonts w:ascii="맑은 고딕" w:hAnsi="맑은 고딕" w:eastAsia="맑은 고딕"/>
                <w:rFonts w:ascii="맑은 고딕" w:hAnsi="맑은 고딕"/>
                <w:b w:val="0"/>
                <w:i w:val="0"/>
                <w:color w:val="FFFFFF"/>
                <w:sz w:val="21"/>
              </w:rPr>
              <w:t>인구 감소, 반도체 및 첨단 제조업에서의 지정학적 경쟁 심화, AI 전환이 요구하는 구조적 변화 등 복합적 도전에 대응하는 과정에서, STEPI의 연구 의제는 프론티어 기술 거버넌스, 공급망 회복력, 신흥기술 국제 표준화 규범 형성을 향해 더욱 집중될 것으로 전망됩니다.</w:t>
            </w:r>
          </w:p>
        </w:tc>
      </w:tr>
    </w:tbl>
    <w:p>
      <w:pPr>
        <w:spacing w:after="80"/>
      </w:pPr>
    </w:p>
    <w:p>
      <w:pPr>
        <w:jc w:val="right"/>
      </w:pPr>
      <w:r>
        <w:rPr>
          <w:rFonts w:ascii="맑은 고딕" w:hAnsi="맑은 고딕" w:eastAsia="맑은 고딕"/>
          <w:rFonts w:ascii="맑은 고딕" w:hAnsi="맑은 고딕"/>
          <w:b w:val="0"/>
          <w:i/>
          <w:color w:val="374151"/>
          <w:sz w:val="16"/>
        </w:rPr>
        <w:t>출처: 과학기술정책연구원 (www.stepi.re.kr)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rFonts w:ascii="맑은 고딕" w:hAnsi="맑은 고딕"/>
        <w:b w:val="0"/>
        <w:i w:val="0"/>
        <w:color w:val="374151"/>
        <w:sz w:val="16"/>
      </w:rPr>
      <w:t>www.stepi.re.kr     |     작성일: 2026-06-07     |     과학기술정책연구원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rFonts w:ascii="맑은 고딕" w:hAnsi="맑은 고딕"/>
        <w:b/>
        <w:i w:val="0"/>
        <w:color w:val="003087"/>
        <w:sz w:val="16"/>
      </w:rPr>
      <w:t>STEPI  과학기술정책연구원</w:t>
    </w:r>
    <w:r>
      <w:rPr>
        <w:rFonts w:ascii="맑은 고딕" w:hAnsi="맑은 고딕" w:eastAsia="맑은 고딕"/>
        <w:rFonts w:ascii="맑은 고딕" w:hAnsi="맑은 고딕"/>
        <w:b w:val="0"/>
        <w:i w:val="0"/>
        <w:color w:val="374151"/>
        <w:sz w:val="16"/>
      </w:rPr>
      <w:t xml:space="preserve">     |     기관 개요 및 정책 연구 프로필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