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GuideKicker"/>
        <w:spacing w:after="240"/>
        <w:jc w:val="center"/>
      </w:pPr>
      <w:r>
        <w:t>CARIBBEAN CAPITAL NETWORK</w:t>
      </w:r>
    </w:p>
    <w:p>
      <w:pPr>
        <w:pStyle w:val="CoverTitle"/>
        <w:spacing w:after="180"/>
        <w:jc w:val="center"/>
      </w:pPr>
      <w:r>
        <w:t>How the CCN Capital Agents Work</w:t>
      </w:r>
    </w:p>
    <w:p>
      <w:pPr>
        <w:pStyle w:val="GuideSubtitle"/>
        <w:spacing w:after="480"/>
        <w:jc w:val="center"/>
      </w:pPr>
      <w:r>
        <w:t>A step-by-step guide for investors, partners and reviewers</w:t>
      </w:r>
    </w:p>
    <w:p>
      <w:pPr>
        <w:pStyle w:val="CalloutLabel"/>
        <w:spacing w:before="160" w:after="20"/>
        <w:ind w:left="230" w:right="115"/>
        <w:shd w:fill="EAF5F2"/>
        <w:pBdr>
          <w:top w:val="single" w:sz="6" w:space="5" w:color="CDD8D5"/>
          <w:start w:val="single" w:sz="18" w:space="5" w:color="2F8F83"/>
          <w:end w:val="single" w:sz="6" w:space="5" w:color="CDD8D5"/>
        </w:pBdr>
      </w:pPr>
      <w:r>
        <w:t>THE GUIDING PRINCIPLE</w:t>
      </w:r>
    </w:p>
    <w:p>
      <w:pPr>
        <w:pStyle w:val="CalloutBody"/>
        <w:spacing w:before="0" w:after="200"/>
        <w:ind w:left="230" w:right="115"/>
        <w:shd w:fill="EAF5F2"/>
        <w:pBdr>
          <w:bottom w:val="single" w:sz="6" w:space="5" w:color="CDD8D5"/>
          <w:start w:val="single" w:sz="18" w:space="5" w:color="2F8F83"/>
          <w:end w:val="single" w:sz="6" w:space="5" w:color="CDD8D5"/>
        </w:pBdr>
      </w:pPr>
      <w:r>
        <w:t>The agents do the searching, checking, comparing and preparation. The person decides. A licensed financial institution completes the regulated review, executes the instruction, holds the investment and settles it.</w:t>
      </w:r>
    </w:p>
    <w:p>
      <w:pPr>
        <w:spacing w:after="60"/>
      </w:pPr>
    </w:p>
    <w:p>
      <w:pPr>
        <w:spacing w:after="60"/>
      </w:pPr>
    </w:p>
    <w:p>
      <w:pPr>
        <w:pStyle w:val="CoverMetadata"/>
        <w:spacing w:after="60"/>
        <w:jc w:val="center"/>
      </w:pPr>
      <w:r>
        <w:t>Plain-language reference guide</w:t>
      </w:r>
    </w:p>
    <w:p>
      <w:pPr>
        <w:pStyle w:val="CoverMetadata"/>
        <w:spacing w:after="60"/>
        <w:jc w:val="center"/>
      </w:pPr>
      <w:r>
        <w:t>23 August 2026</w:t>
      </w:r>
    </w:p>
    <w:p>
      <w:pPr>
        <w:widowControl/>
        <w:spacing w:before="0" w:after="110" w:line="283" w:lineRule="auto"/>
      </w:pPr>
      <w:r>
        <w:br w:type="page"/>
      </w:r>
    </w:p>
    <w:p>
      <w:pPr>
        <w:pStyle w:val="Heading1"/>
        <w:keepNext/>
        <w:keepLines/>
        <w:spacing w:before="320" w:after="200"/>
        <w:ind w:left="202" w:right="86"/>
        <w:shd w:fill="173B3A"/>
      </w:pPr>
      <w:r>
        <w:t>Start here</w:t>
      </w:r>
    </w:p>
    <w:p>
      <w:pPr>
        <w:widowControl/>
        <w:spacing w:before="0" w:after="110" w:line="283" w:lineRule="auto"/>
      </w:pPr>
      <w:r>
        <w:t>A CCN Capital Agent is a group of digital specialists working as one assistant. Each specialist has a clear responsibility. One finds possible investments, another studies the evidence, another checks whether an option makes sense for the person, another checks readiness for KYC and AML review, and another prepares the recommendation for approval.</w:t>
      </w:r>
    </w:p>
    <w:p>
      <w:pPr>
        <w:pStyle w:val="CalloutLabel"/>
        <w:spacing w:before="160" w:after="20"/>
        <w:ind w:left="230" w:right="115"/>
        <w:shd w:fill="EAF5F2"/>
        <w:pBdr>
          <w:top w:val="single" w:sz="6" w:space="5" w:color="CDD8D5"/>
          <w:start w:val="single" w:sz="18" w:space="5" w:color="2F8F83"/>
          <w:end w:val="single" w:sz="6" w:space="5" w:color="CDD8D5"/>
        </w:pBdr>
      </w:pPr>
      <w:r>
        <w:t>ONE JOURNEY, CLEAR HAND-OFFS</w:t>
      </w:r>
    </w:p>
    <w:p>
      <w:pPr>
        <w:pStyle w:val="CalloutBody"/>
        <w:spacing w:before="0" w:after="200"/>
        <w:ind w:left="230" w:right="115"/>
        <w:shd w:fill="EAF5F2"/>
        <w:pBdr>
          <w:bottom w:val="single" w:sz="6" w:space="5" w:color="CDD8D5"/>
          <w:start w:val="single" w:sz="18" w:space="5" w:color="2F8F83"/>
          <w:end w:val="single" w:sz="6" w:space="5" w:color="CDD8D5"/>
        </w:pBdr>
      </w:pPr>
      <w:r>
        <w:t>No specialist may skip the next review. If a product lacks reliable support, does not fit the person's situation, falls outside a limit, or is not ready for the licensed firm's compliance review, it stops before a recommendation is prepared.</w:t>
      </w:r>
    </w:p>
    <w:p>
      <w:pPr>
        <w:spacing w:after="60"/>
      </w:pPr>
    </w:p>
    <w:p>
      <w:pPr>
        <w:pStyle w:val="Heading2"/>
        <w:keepNext/>
        <w:keepLines/>
        <w:spacing w:before="220" w:after="100"/>
      </w:pPr>
      <w:r>
        <w:t>The people who remain in control</w:t>
      </w:r>
    </w:p>
    <w:p>
      <w:pPr>
        <w:pStyle w:val="ListBullet"/>
        <w:keepNext/>
        <w:widowControl/>
        <w:spacing w:before="0" w:after="110" w:line="283" w:lineRule="auto"/>
      </w:pPr>
      <w:r>
        <w:t>The investor supplies goals, personal circumstances, preferences and instructions.</w:t>
      </w:r>
    </w:p>
    <w:p>
      <w:pPr>
        <w:pStyle w:val="ListBullet"/>
        <w:widowControl/>
        <w:spacing w:before="0" w:after="110" w:line="283" w:lineRule="auto"/>
      </w:pPr>
      <w:r>
        <w:t>The agents gather, compare, check, explain and prepare. They do not spend or move money.</w:t>
      </w:r>
    </w:p>
    <w:p>
      <w:pPr>
        <w:pStyle w:val="ListBullet"/>
        <w:widowControl/>
        <w:spacing w:before="0" w:after="110" w:line="283" w:lineRule="auto"/>
      </w:pPr>
      <w:r>
        <w:t>The investor approves or rejects each prepared move.</w:t>
      </w:r>
    </w:p>
    <w:p>
      <w:pPr>
        <w:pStyle w:val="ListBullet"/>
        <w:widowControl/>
        <w:spacing w:before="0" w:after="110" w:line="283" w:lineRule="auto"/>
      </w:pPr>
      <w:r>
        <w:t>The licensed financial institution makes the final KYC, AML and suitability decisions, accepts or declines the instruction, executes it, holds the asset and completes settlement.</w:t>
      </w:r>
    </w:p>
    <w:p>
      <w:pPr>
        <w:pStyle w:val="Heading2"/>
        <w:keepNext/>
        <w:keepLines/>
        <w:spacing w:before="220" w:after="100"/>
      </w:pPr>
      <w:r>
        <w:t>The full journey at a glance</w:t>
      </w:r>
    </w:p>
    <w:p>
      <w:pPr>
        <w:pStyle w:val="ListNumber"/>
        <w:keepNext/>
        <w:widowControl/>
        <w:spacing w:before="0" w:after="110" w:line="283" w:lineRule="auto"/>
      </w:pPr>
      <w:r>
        <w:t>Understand what the person is trying to achieve.</w:t>
      </w:r>
    </w:p>
    <w:p>
      <w:pPr>
        <w:pStyle w:val="ListNumber"/>
        <w:widowControl/>
        <w:spacing w:before="0" w:after="110" w:line="283" w:lineRule="auto"/>
      </w:pPr>
      <w:r>
        <w:t>Build a current picture of holdings, cash, currencies, goals and connected firms.</w:t>
      </w:r>
    </w:p>
    <w:p>
      <w:pPr>
        <w:pStyle w:val="ListNumber"/>
        <w:widowControl/>
        <w:spacing w:before="0" w:after="110" w:line="283" w:lineRule="auto"/>
      </w:pPr>
      <w:r>
        <w:t>Search the live marketplace for eligible products.</w:t>
      </w:r>
    </w:p>
    <w:p>
      <w:pPr>
        <w:pStyle w:val="ListNumber"/>
        <w:widowControl/>
        <w:spacing w:before="0" w:after="110" w:line="283" w:lineRule="auto"/>
      </w:pPr>
      <w:r>
        <w:t>Research each serious candidate and label the strength of the supporting information.</w:t>
      </w:r>
    </w:p>
    <w:p>
      <w:pPr>
        <w:pStyle w:val="ListNumber"/>
        <w:widowControl/>
        <w:spacing w:before="0" w:after="110" w:line="283" w:lineRule="auto"/>
      </w:pPr>
      <w:r>
        <w:t>Compare each candidate with the person's portfolio and goals.</w:t>
      </w:r>
    </w:p>
    <w:p>
      <w:pPr>
        <w:pStyle w:val="ListNumber"/>
        <w:widowControl/>
        <w:spacing w:before="0" w:after="110" w:line="283" w:lineRule="auto"/>
      </w:pPr>
      <w:r>
        <w:t>Check the person's risk band, cash floor and investment limits.</w:t>
      </w:r>
    </w:p>
    <w:p>
      <w:pPr>
        <w:pStyle w:val="ListNumber"/>
        <w:widowControl/>
        <w:spacing w:before="0" w:after="110" w:line="283" w:lineRule="auto"/>
      </w:pPr>
      <w:r>
        <w:t>Check KYC and AML readiness and the relationship with the executing firm.</w:t>
      </w:r>
    </w:p>
    <w:p>
      <w:pPr>
        <w:pStyle w:val="ListNumber"/>
        <w:widowControl/>
        <w:spacing w:before="0" w:after="110" w:line="283" w:lineRule="auto"/>
      </w:pPr>
      <w:r>
        <w:t>Compare a regional option with a similar option in the United States, Canada or the United Kingdom when that context is useful.</w:t>
      </w:r>
    </w:p>
    <w:p>
      <w:pPr>
        <w:pStyle w:val="ListNumber"/>
        <w:widowControl/>
        <w:spacing w:before="0" w:after="110" w:line="283" w:lineRule="auto"/>
      </w:pPr>
      <w:r>
        <w:t>Choose an appropriate candidate and amount, or recommend nothing.</w:t>
      </w:r>
    </w:p>
    <w:p>
      <w:pPr>
        <w:pStyle w:val="ListNumber"/>
        <w:widowControl/>
        <w:spacing w:before="0" w:after="110" w:line="283" w:lineRule="auto"/>
      </w:pPr>
      <w:r>
        <w:t>Prepare a clear approval card showing the case, concerns, fees and checks.</w:t>
      </w:r>
    </w:p>
    <w:p>
      <w:pPr>
        <w:pStyle w:val="ListNumber"/>
        <w:widowControl/>
        <w:spacing w:before="0" w:after="110" w:line="283" w:lineRule="auto"/>
      </w:pPr>
      <w:r>
        <w:t>Wait for the person's approval or rejection.</w:t>
      </w:r>
    </w:p>
    <w:p>
      <w:pPr>
        <w:pStyle w:val="ListNumber"/>
        <w:widowControl/>
        <w:spacing w:before="0" w:after="110" w:line="283" w:lineRule="auto"/>
      </w:pPr>
      <w:r>
        <w:t>Route an approved instruction to the licensed firm for acceptance, execution and settlement.</w:t>
      </w:r>
    </w:p>
    <w:p>
      <w:pPr>
        <w:pStyle w:val="ListNumber"/>
        <w:widowControl/>
        <w:spacing w:before="0" w:after="110" w:line="283" w:lineRule="auto"/>
      </w:pPr>
      <w:r>
        <w:t>Track what happens and preserve a clear record from first review to final outcome.</w:t>
      </w:r>
    </w:p>
    <w:p>
      <w:pPr>
        <w:pStyle w:val="ListNumber"/>
        <w:spacing w:after="60"/>
      </w:pPr>
      <w:r/>
    </w:p>
    <w:p>
      <w:pPr>
        <w:pStyle w:val="Heading1"/>
        <w:keepNext/>
        <w:keepLines/>
        <w:spacing w:before="320" w:after="200"/>
        <w:ind w:left="202" w:right="86"/>
        <w:shd w:fill="173B3A"/>
        <w:pageBreakBefore/>
      </w:pPr>
      <w:r>
        <w:t>Before any product is recommended</w:t>
      </w:r>
    </w:p>
    <w:p>
      <w:pPr>
        <w:pStyle w:val="StepLabel"/>
        <w:keepNext/>
        <w:keepLines/>
        <w:spacing w:before="240" w:after="20"/>
      </w:pPr>
      <w:r>
        <w:t>STEP 1</w:t>
      </w:r>
    </w:p>
    <w:p>
      <w:pPr>
        <w:pStyle w:val="Heading2"/>
        <w:keepNext/>
        <w:keepLines/>
        <w:spacing w:before="180" w:after="100"/>
      </w:pPr>
      <w:r>
        <w:t>Understand the person's purpose</w:t>
      </w:r>
    </w:p>
    <w:p>
      <w:pPr>
        <w:pStyle w:val="StepDetail"/>
        <w:keepNext/>
        <w:keepLines/>
        <w:spacing w:after="70"/>
        <w:ind w:left="259" w:right="58"/>
        <w:pBdr>
          <w:start w:val="single" w:sz="18" w:space="5" w:color="2F8F83"/>
        </w:pBdr>
      </w:pPr>
      <w:r>
        <w:rPr>
          <w:b/>
        </w:rPr>
        <w:t>Purpose:</w:t>
      </w:r>
      <w:r>
        <w:t xml:space="preserve"> Give the agents a real-world destination for the money, not just a desire for a return.</w:t>
      </w:r>
    </w:p>
    <w:p>
      <w:pPr>
        <w:pStyle w:val="StepDetail"/>
        <w:keepNext/>
        <w:keepLines/>
        <w:spacing w:after="70"/>
        <w:ind w:left="259" w:right="58"/>
        <w:pBdr>
          <w:start w:val="single" w:sz="18" w:space="5" w:color="2F8F83"/>
        </w:pBdr>
      </w:pPr>
      <w:r>
        <w:rPr>
          <w:b/>
        </w:rPr>
        <w:t>What happens:</w:t>
      </w:r>
      <w:r>
        <w:t xml:space="preserve"> The agent asks what the money is for, the target amount, the target date, how much flexibility the person has, preferred currencies, income needs and any restrictions. A goal might be purchasing a home, building retirement income, funding education or preserving emergency cash.</w:t>
      </w:r>
    </w:p>
    <w:p>
      <w:pPr>
        <w:pStyle w:val="StepDetail"/>
        <w:keepNext/>
        <w:keepLines/>
        <w:spacing w:after="70"/>
        <w:ind w:left="259" w:right="58"/>
        <w:pBdr>
          <w:start w:val="single" w:sz="18" w:space="5" w:color="2F8F83"/>
        </w:pBdr>
      </w:pPr>
      <w:r>
        <w:rPr>
          <w:b/>
        </w:rPr>
        <w:t>What the person sees:</w:t>
      </w:r>
      <w:r>
        <w:t xml:space="preserve"> A short goal statement that can guide later choices. The person can see and correct the goal before it affects a recommendation.</w:t>
      </w:r>
    </w:p>
    <w:p>
      <w:pPr>
        <w:pStyle w:val="StepDetail"/>
        <w:keepNext w:val="0"/>
        <w:keepLines/>
        <w:spacing w:after="200"/>
        <w:ind w:left="259" w:right="58"/>
        <w:pBdr>
          <w:start w:val="single" w:sz="18" w:space="5" w:color="2F8F83"/>
        </w:pBdr>
      </w:pPr>
      <w:r>
        <w:rPr>
          <w:b/>
        </w:rPr>
        <w:t>What can stop or change the step:</w:t>
      </w:r>
      <w:r>
        <w:t xml:space="preserve"> If the goal is too vague, the target date is missing, or the person is uncertain about a key preference, the agent asks for clarity or uses only the facts already confirmed.</w:t>
      </w:r>
    </w:p>
    <w:p>
      <w:pPr>
        <w:pStyle w:val="StepLabel"/>
        <w:keepNext/>
        <w:keepLines/>
        <w:spacing w:before="240" w:after="20"/>
      </w:pPr>
      <w:r>
        <w:t>STEP 2</w:t>
      </w:r>
    </w:p>
    <w:p>
      <w:pPr>
        <w:pStyle w:val="Heading2"/>
        <w:keepNext/>
        <w:keepLines/>
        <w:spacing w:before="180" w:after="100"/>
      </w:pPr>
      <w:r>
        <w:t>Build the current financial picture</w:t>
      </w:r>
    </w:p>
    <w:p>
      <w:pPr>
        <w:pStyle w:val="StepDetail"/>
        <w:keepNext/>
        <w:keepLines/>
        <w:spacing w:after="70"/>
        <w:ind w:left="259" w:right="58"/>
        <w:pBdr>
          <w:start w:val="single" w:sz="18" w:space="5" w:color="2F8F83"/>
        </w:pBdr>
      </w:pPr>
      <w:r>
        <w:rPr>
          <w:b/>
        </w:rPr>
        <w:t>Purpose:</w:t>
      </w:r>
      <w:r>
        <w:t xml:space="preserve"> Avoid treating a new product as though it would sit alone.</w:t>
      </w:r>
    </w:p>
    <w:p>
      <w:pPr>
        <w:pStyle w:val="StepDetail"/>
        <w:keepNext/>
        <w:keepLines/>
        <w:spacing w:after="70"/>
        <w:ind w:left="259" w:right="58"/>
        <w:pBdr>
          <w:start w:val="single" w:sz="18" w:space="5" w:color="2F8F83"/>
        </w:pBdr>
      </w:pPr>
      <w:r>
        <w:rPr>
          <w:b/>
        </w:rPr>
        <w:t>What happens:</w:t>
      </w:r>
      <w:r>
        <w:t xml:space="preserve"> The agent brings together the holdings the person has recorded across connected institutions. It looks at cash, existing investments, product types, firms, currencies, current concentration, pending approvals and orders already in progress. It also notes which cash belongs to which firm because cash held at one institution is not automatically available at another.</w:t>
      </w:r>
    </w:p>
    <w:p>
      <w:pPr>
        <w:pStyle w:val="StepDetail"/>
        <w:keepNext/>
        <w:keepLines/>
        <w:spacing w:after="70"/>
        <w:ind w:left="259" w:right="58"/>
        <w:pBdr>
          <w:start w:val="single" w:sz="18" w:space="5" w:color="2F8F83"/>
        </w:pBdr>
      </w:pPr>
      <w:r>
        <w:rPr>
          <w:b/>
        </w:rPr>
        <w:t>What the person sees:</w:t>
      </w:r>
      <w:r>
        <w:t xml:space="preserve"> A unified view of what the person owns, where it is held, how it is spread and what is already under way.</w:t>
      </w:r>
    </w:p>
    <w:p>
      <w:pPr>
        <w:pStyle w:val="StepDetail"/>
        <w:keepNext w:val="0"/>
        <w:keepLines/>
        <w:spacing w:after="200"/>
        <w:ind w:left="259" w:right="58"/>
        <w:pBdr>
          <w:start w:val="single" w:sz="18" w:space="5" w:color="2F8F83"/>
        </w:pBdr>
      </w:pPr>
      <w:r>
        <w:rPr>
          <w:b/>
        </w:rPr>
        <w:t>What can stop or change the step:</w:t>
      </w:r>
      <w:r>
        <w:t xml:space="preserve"> Missing or stale account information is shown as a gap. The agent does not silently fill it in.</w:t>
      </w:r>
    </w:p>
    <w:p>
      <w:pPr>
        <w:pStyle w:val="StepLabel"/>
        <w:keepNext/>
        <w:keepLines/>
        <w:spacing w:before="240" w:after="20"/>
      </w:pPr>
      <w:r>
        <w:t>STEP 3</w:t>
      </w:r>
    </w:p>
    <w:p>
      <w:pPr>
        <w:pStyle w:val="Heading2"/>
        <w:keepNext/>
        <w:keepLines/>
        <w:spacing w:before="180" w:after="100"/>
      </w:pPr>
      <w:r>
        <w:t>Confirm the usable rules</w:t>
      </w:r>
    </w:p>
    <w:p>
      <w:pPr>
        <w:pStyle w:val="StepDetail"/>
        <w:keepNext/>
        <w:keepLines/>
        <w:spacing w:after="70"/>
        <w:ind w:left="259" w:right="58"/>
        <w:pBdr>
          <w:start w:val="single" w:sz="18" w:space="5" w:color="2F8F83"/>
        </w:pBdr>
      </w:pPr>
      <w:r>
        <w:rPr>
          <w:b/>
        </w:rPr>
        <w:t>Purpose:</w:t>
      </w:r>
      <w:r>
        <w:t xml:space="preserve"> Know the boundaries before searching for an answer.</w:t>
      </w:r>
    </w:p>
    <w:p>
      <w:pPr>
        <w:pStyle w:val="StepDetail"/>
        <w:keepNext/>
        <w:keepLines/>
        <w:spacing w:after="70"/>
        <w:ind w:left="259" w:right="58"/>
        <w:pBdr>
          <w:start w:val="single" w:sz="18" w:space="5" w:color="2F8F83"/>
        </w:pBdr>
      </w:pPr>
      <w:r>
        <w:rPr>
          <w:b/>
        </w:rPr>
        <w:t>What happens:</w:t>
      </w:r>
      <w:r>
        <w:t xml:space="preserve"> The agent reads the person's risk band and the limits the person has chosen. These include the minimum cash that must remain available, the largest acceptable single position, any daily cap and the amount above which extra approval attention is required. It also considers the minimum investment set by each product.</w:t>
      </w:r>
    </w:p>
    <w:p>
      <w:pPr>
        <w:pStyle w:val="StepDetail"/>
        <w:keepNext/>
        <w:keepLines/>
        <w:spacing w:after="70"/>
        <w:ind w:left="259" w:right="58"/>
        <w:pBdr>
          <w:start w:val="single" w:sz="18" w:space="5" w:color="2F8F83"/>
        </w:pBdr>
      </w:pPr>
      <w:r>
        <w:rPr>
          <w:b/>
        </w:rPr>
        <w:t>What the person sees:</w:t>
      </w:r>
      <w:r>
        <w:t xml:space="preserve"> A clear explanation of the boundaries that will be applied to every candidate.</w:t>
      </w:r>
    </w:p>
    <w:p>
      <w:pPr>
        <w:pStyle w:val="StepDetail"/>
        <w:keepNext w:val="0"/>
        <w:keepLines/>
        <w:spacing w:after="200"/>
        <w:ind w:left="259" w:right="58"/>
        <w:pBdr>
          <w:start w:val="single" w:sz="18" w:space="5" w:color="2F8F83"/>
        </w:pBdr>
      </w:pPr>
      <w:r>
        <w:rPr>
          <w:b/>
        </w:rPr>
        <w:t>What can stop or change the step:</w:t>
      </w:r>
      <w:r>
        <w:t xml:space="preserve"> If a proposed amount would break a boundary, the agent either reduces the amount and checks again or stops the proposal.</w:t>
      </w:r>
    </w:p>
    <w:p>
      <w:pPr>
        <w:spacing w:after="60"/>
      </w:pPr>
      <w:r/>
    </w:p>
    <w:p>
      <w:pPr>
        <w:pStyle w:val="Heading1"/>
        <w:keepNext/>
        <w:keepLines/>
        <w:spacing w:before="320" w:after="200"/>
        <w:ind w:left="202" w:right="86"/>
        <w:shd w:fill="173B3A"/>
        <w:pageBreakBefore/>
      </w:pPr>
      <w:r>
        <w:t>Finding and understanding possible investments</w:t>
      </w:r>
    </w:p>
    <w:p>
      <w:pPr>
        <w:pStyle w:val="StepLabel"/>
        <w:keepNext/>
        <w:keepLines/>
        <w:spacing w:before="240" w:after="20"/>
      </w:pPr>
      <w:r>
        <w:t>STEP 4</w:t>
      </w:r>
    </w:p>
    <w:p>
      <w:pPr>
        <w:pStyle w:val="Heading2"/>
        <w:keepNext/>
        <w:keepLines/>
        <w:spacing w:before="180" w:after="100"/>
      </w:pPr>
      <w:r>
        <w:t>Search the live marketplace</w:t>
      </w:r>
    </w:p>
    <w:p>
      <w:pPr>
        <w:pStyle w:val="StepDetail"/>
        <w:keepNext/>
        <w:keepLines/>
        <w:spacing w:after="70"/>
        <w:ind w:left="259" w:right="58"/>
        <w:pBdr>
          <w:start w:val="single" w:sz="18" w:space="5" w:color="2F8F83"/>
        </w:pBdr>
      </w:pPr>
      <w:r>
        <w:rPr>
          <w:b/>
        </w:rPr>
        <w:t>Purpose:</w:t>
      </w:r>
      <w:r>
        <w:t xml:space="preserve"> Create a sensible starting group without overwhelming the person.</w:t>
      </w:r>
    </w:p>
    <w:p>
      <w:pPr>
        <w:pStyle w:val="StepDetail"/>
        <w:keepNext/>
        <w:keepLines/>
        <w:spacing w:after="70"/>
        <w:ind w:left="259" w:right="58"/>
        <w:pBdr>
          <w:start w:val="single" w:sz="18" w:space="5" w:color="2F8F83"/>
        </w:pBdr>
      </w:pPr>
      <w:r>
        <w:rPr>
          <w:b/>
        </w:rPr>
        <w:t>What happens:</w:t>
      </w:r>
      <w:r>
        <w:t xml:space="preserve"> The Research Agent reviews products that are currently offered by institutions relevant to the person. It leaves out products that are paused, blocked, unavailable through the person's connected firms, or resting after a recent proposal or trade. It then forms a manageable shortlist.</w:t>
      </w:r>
    </w:p>
    <w:p>
      <w:pPr>
        <w:pStyle w:val="StepDetail"/>
        <w:keepNext/>
        <w:keepLines/>
        <w:spacing w:after="70"/>
        <w:ind w:left="259" w:right="58"/>
        <w:pBdr>
          <w:start w:val="single" w:sz="18" w:space="5" w:color="2F8F83"/>
        </w:pBdr>
      </w:pPr>
      <w:r>
        <w:rPr>
          <w:b/>
        </w:rPr>
        <w:t>What the person sees:</w:t>
      </w:r>
      <w:r>
        <w:t xml:space="preserve"> A shortlist rather than an unfiltered catalogue. The record can also show why a product was left out.</w:t>
      </w:r>
    </w:p>
    <w:p>
      <w:pPr>
        <w:pStyle w:val="StepDetail"/>
        <w:keepNext w:val="0"/>
        <w:keepLines/>
        <w:spacing w:after="200"/>
        <w:ind w:left="259" w:right="58"/>
        <w:pBdr>
          <w:start w:val="single" w:sz="18" w:space="5" w:color="2F8F83"/>
        </w:pBdr>
      </w:pPr>
      <w:r>
        <w:rPr>
          <w:b/>
        </w:rPr>
        <w:t>What can stop or change the step:</w:t>
      </w:r>
      <w:r>
        <w:t xml:space="preserve"> If no live product meets the basic conditions, the process stops with a plain explanation instead of forcing a recommendation.</w:t>
      </w:r>
    </w:p>
    <w:p>
      <w:pPr>
        <w:pStyle w:val="StepLabel"/>
        <w:keepNext/>
        <w:keepLines/>
        <w:spacing w:before="240" w:after="20"/>
      </w:pPr>
      <w:r>
        <w:t>STEP 5</w:t>
      </w:r>
    </w:p>
    <w:p>
      <w:pPr>
        <w:pStyle w:val="Heading2"/>
        <w:keepNext/>
        <w:keepLines/>
        <w:spacing w:before="180" w:after="100"/>
      </w:pPr>
      <w:r>
        <w:t>Research the shortlist</w:t>
      </w:r>
    </w:p>
    <w:p>
      <w:pPr>
        <w:pStyle w:val="StepDetail"/>
        <w:keepNext/>
        <w:keepLines/>
        <w:spacing w:after="70"/>
        <w:ind w:left="259" w:right="58"/>
        <w:pBdr>
          <w:start w:val="single" w:sz="18" w:space="5" w:color="2F8F83"/>
        </w:pBdr>
      </w:pPr>
      <w:r>
        <w:rPr>
          <w:b/>
        </w:rPr>
        <w:t>Purpose:</w:t>
      </w:r>
      <w:r>
        <w:t xml:space="preserve"> Separate well-supported facts from claims that still need confirmation.</w:t>
      </w:r>
    </w:p>
    <w:p>
      <w:pPr>
        <w:pStyle w:val="StepDetail"/>
        <w:keepNext/>
        <w:keepLines/>
        <w:spacing w:after="70"/>
        <w:ind w:left="259" w:right="58"/>
        <w:pBdr>
          <w:start w:val="single" w:sz="18" w:space="5" w:color="2F8F83"/>
        </w:pBdr>
      </w:pPr>
      <w:r>
        <w:rPr>
          <w:b/>
        </w:rPr>
        <w:t>What happens:</w:t>
      </w:r>
      <w:r>
        <w:t xml:space="preserve"> For each shortlisted product, the agent studies the available product information. It looks for the features that matter to the decision, including risk, return or income information, access to money, maturity or holding period, minimum investment, fees, currency, the institution responsible for execution and the regulator named for that institution. Each important point is labelled as confirmed, partly confirmed, supplied by the listing firm, not yet confirmed, or contradicted.</w:t>
      </w:r>
    </w:p>
    <w:p>
      <w:pPr>
        <w:pStyle w:val="StepDetail"/>
        <w:keepNext/>
        <w:keepLines/>
        <w:spacing w:after="70"/>
        <w:ind w:left="259" w:right="58"/>
        <w:pBdr>
          <w:start w:val="single" w:sz="18" w:space="5" w:color="2F8F83"/>
        </w:pBdr>
      </w:pPr>
      <w:r>
        <w:rPr>
          <w:b/>
        </w:rPr>
        <w:t>What the person sees:</w:t>
      </w:r>
      <w:r>
        <w:t xml:space="preserve"> A readable evidence summary. The person can tell which parts are dependable and which parts still need checking.</w:t>
      </w:r>
    </w:p>
    <w:p>
      <w:pPr>
        <w:pStyle w:val="StepDetail"/>
        <w:keepNext w:val="0"/>
        <w:keepLines/>
        <w:spacing w:after="200"/>
        <w:ind w:left="259" w:right="58"/>
        <w:pBdr>
          <w:start w:val="single" w:sz="18" w:space="5" w:color="2F8F83"/>
        </w:pBdr>
      </w:pPr>
      <w:r>
        <w:rPr>
          <w:b/>
        </w:rPr>
        <w:t>What can stop or change the step:</w:t>
      </w:r>
      <w:r>
        <w:t xml:space="preserve"> A contradiction is a stop sign, not a minor deduction. If research is unavailable, the agent says so and does not invent a confidence level or missing fact.</w:t>
      </w:r>
    </w:p>
    <w:p>
      <w:pPr>
        <w:pStyle w:val="CalloutLabel"/>
        <w:spacing w:before="160" w:after="20"/>
        <w:ind w:left="230" w:right="115"/>
        <w:shd w:fill="EAF5F2"/>
        <w:pBdr>
          <w:top w:val="single" w:sz="6" w:space="5" w:color="CDD8D5"/>
          <w:start w:val="single" w:sz="18" w:space="5" w:color="2F8F83"/>
          <w:end w:val="single" w:sz="6" w:space="5" w:color="CDD8D5"/>
        </w:pBdr>
      </w:pPr>
      <w:r>
        <w:t>WHY EVIDENCE LABELS MATTER</w:t>
      </w:r>
    </w:p>
    <w:p>
      <w:pPr>
        <w:pStyle w:val="CalloutBody"/>
        <w:spacing w:before="0" w:after="200"/>
        <w:ind w:left="230" w:right="115"/>
        <w:shd w:fill="EAF5F2"/>
        <w:pBdr>
          <w:bottom w:val="single" w:sz="6" w:space="5" w:color="CDD8D5"/>
          <w:start w:val="single" w:sz="18" w:space="5" w:color="2F8F83"/>
          <w:end w:val="single" w:sz="6" w:space="5" w:color="CDD8D5"/>
        </w:pBdr>
      </w:pPr>
      <w:r>
        <w:t>A polished product description is not treated as proof. The agent keeps the original claim and the strength of its support separate so the person can judge both.</w:t>
      </w:r>
    </w:p>
    <w:p>
      <w:pPr>
        <w:spacing w:after="60"/>
      </w:pPr>
    </w:p>
    <w:p>
      <w:pPr>
        <w:pStyle w:val="StepLabel"/>
        <w:keepNext/>
        <w:keepLines/>
        <w:spacing w:before="240" w:after="20"/>
      </w:pPr>
      <w:r>
        <w:t>STEP 6</w:t>
      </w:r>
    </w:p>
    <w:p>
      <w:pPr>
        <w:pStyle w:val="Heading2"/>
        <w:keepNext/>
        <w:keepLines/>
        <w:spacing w:before="180" w:after="100"/>
      </w:pPr>
      <w:r>
        <w:t>Rank the candidates</w:t>
      </w:r>
    </w:p>
    <w:p>
      <w:pPr>
        <w:pStyle w:val="StepDetail"/>
        <w:keepNext/>
        <w:keepLines/>
        <w:spacing w:after="70"/>
        <w:ind w:left="259" w:right="58"/>
        <w:pBdr>
          <w:start w:val="single" w:sz="18" w:space="5" w:color="2F8F83"/>
        </w:pBdr>
      </w:pPr>
      <w:r>
        <w:rPr>
          <w:b/>
        </w:rPr>
        <w:t>Purpose:</w:t>
      </w:r>
      <w:r>
        <w:t xml:space="preserve"> Focus attention on options with both useful evidence and a reasonable chance of fitting the person.</w:t>
      </w:r>
    </w:p>
    <w:p>
      <w:pPr>
        <w:pStyle w:val="StepDetail"/>
        <w:keepNext/>
        <w:keepLines/>
        <w:spacing w:after="70"/>
        <w:ind w:left="259" w:right="58"/>
        <w:pBdr>
          <w:start w:val="single" w:sz="18" w:space="5" w:color="2F8F83"/>
        </w:pBdr>
      </w:pPr>
      <w:r>
        <w:rPr>
          <w:b/>
        </w:rPr>
        <w:t>What happens:</w:t>
      </w:r>
      <w:r>
        <w:t xml:space="preserve"> The agent gives more attention to products with stronger support and better personal fit. When evidence is limited, it takes a cautious path by looking first at lower-risk choices with manageable minimums. It usually carries only the strongest few candidates into the next reviews.</w:t>
      </w:r>
    </w:p>
    <w:p>
      <w:pPr>
        <w:pStyle w:val="StepDetail"/>
        <w:keepNext/>
        <w:keepLines/>
        <w:spacing w:after="70"/>
        <w:ind w:left="259" w:right="58"/>
        <w:pBdr>
          <w:start w:val="single" w:sz="18" w:space="5" w:color="2F8F83"/>
        </w:pBdr>
      </w:pPr>
      <w:r>
        <w:rPr>
          <w:b/>
        </w:rPr>
        <w:t>What the person sees:</w:t>
      </w:r>
      <w:r>
        <w:t xml:space="preserve"> A ranked shortlist with a reason for the order.</w:t>
      </w:r>
    </w:p>
    <w:p>
      <w:pPr>
        <w:pStyle w:val="StepDetail"/>
        <w:keepNext w:val="0"/>
        <w:keepLines/>
        <w:spacing w:after="200"/>
        <w:ind w:left="259" w:right="58"/>
        <w:pBdr>
          <w:start w:val="single" w:sz="18" w:space="5" w:color="2F8F83"/>
        </w:pBdr>
      </w:pPr>
      <w:r>
        <w:rPr>
          <w:b/>
        </w:rPr>
        <w:t>What can stop or change the step:</w:t>
      </w:r>
      <w:r>
        <w:t xml:space="preserve"> A product with contradicted evidence is removed. A product with weak overall support may be passed over even if it does not break a formal limit.</w:t>
      </w:r>
    </w:p>
    <w:p>
      <w:pPr>
        <w:spacing w:after="60"/>
      </w:pPr>
      <w:r/>
    </w:p>
    <w:p>
      <w:pPr>
        <w:pStyle w:val="Heading1"/>
        <w:keepNext/>
        <w:keepLines/>
        <w:spacing w:before="320" w:after="200"/>
        <w:ind w:left="202" w:right="86"/>
        <w:shd w:fill="173B3A"/>
        <w:pageBreakBefore/>
      </w:pPr>
      <w:r>
        <w:t>Making the recommendation personal</w:t>
      </w:r>
    </w:p>
    <w:p>
      <w:pPr>
        <w:pStyle w:val="StepLabel"/>
        <w:keepNext/>
        <w:keepLines/>
        <w:spacing w:before="240" w:after="20"/>
      </w:pPr>
      <w:r>
        <w:t>STEP 7</w:t>
      </w:r>
    </w:p>
    <w:p>
      <w:pPr>
        <w:pStyle w:val="Heading2"/>
        <w:keepNext/>
        <w:keepLines/>
        <w:spacing w:before="180" w:after="100"/>
      </w:pPr>
      <w:r>
        <w:t>Check portfolio fit</w:t>
      </w:r>
    </w:p>
    <w:p>
      <w:pPr>
        <w:pStyle w:val="StepDetail"/>
        <w:keepNext/>
        <w:keepLines/>
        <w:spacing w:after="70"/>
        <w:ind w:left="259" w:right="58"/>
        <w:pBdr>
          <w:start w:val="single" w:sz="18" w:space="5" w:color="2F8F83"/>
        </w:pBdr>
      </w:pPr>
      <w:r>
        <w:rPr>
          <w:b/>
        </w:rPr>
        <w:t>Purpose:</w:t>
      </w:r>
      <w:r>
        <w:t xml:space="preserve"> Answer whether the product makes sense for this person, not merely whether the product exists.</w:t>
      </w:r>
    </w:p>
    <w:p>
      <w:pPr>
        <w:pStyle w:val="StepDetail"/>
        <w:keepNext/>
        <w:keepLines/>
        <w:spacing w:after="70"/>
        <w:ind w:left="259" w:right="58"/>
        <w:pBdr>
          <w:start w:val="single" w:sz="18" w:space="5" w:color="2F8F83"/>
        </w:pBdr>
      </w:pPr>
      <w:r>
        <w:rPr>
          <w:b/>
        </w:rPr>
        <w:t>What happens:</w:t>
      </w:r>
      <w:r>
        <w:t xml:space="preserve"> The Portfolio Fit Agent compares the candidate with current holdings and goals. It checks whether the product duplicates something already owned, adds too much exposure to one institution or product type, introduces an unwanted currency mismatch, ties up money needed for a near-term goal, or helps fill an underrepresented part of the portfolio. It also considers the person's target mix for their risk band.</w:t>
      </w:r>
    </w:p>
    <w:p>
      <w:pPr>
        <w:pStyle w:val="StepDetail"/>
        <w:keepNext/>
        <w:keepLines/>
        <w:spacing w:after="70"/>
        <w:ind w:left="259" w:right="58"/>
        <w:pBdr>
          <w:start w:val="single" w:sz="18" w:space="5" w:color="2F8F83"/>
        </w:pBdr>
      </w:pPr>
      <w:r>
        <w:rPr>
          <w:b/>
        </w:rPr>
        <w:t>What the person sees:</w:t>
      </w:r>
      <w:r>
        <w:t xml:space="preserve"> A fit score with reasons in favour and concerns against. The score never appears without an explanation.</w:t>
      </w:r>
    </w:p>
    <w:p>
      <w:pPr>
        <w:pStyle w:val="StepDetail"/>
        <w:keepNext w:val="0"/>
        <w:keepLines/>
        <w:spacing w:after="200"/>
        <w:ind w:left="259" w:right="58"/>
        <w:pBdr>
          <w:start w:val="single" w:sz="18" w:space="5" w:color="2F8F83"/>
        </w:pBdr>
      </w:pPr>
      <w:r>
        <w:rPr>
          <w:b/>
        </w:rPr>
        <w:t>What can stop or change the step:</w:t>
      </w:r>
      <w:r>
        <w:t xml:space="preserve"> A product may be available and still be a poor personal fit. In that case it can be set aside before any proposal is prepared.</w:t>
      </w:r>
    </w:p>
    <w:p>
      <w:pPr>
        <w:pStyle w:val="StepLabel"/>
        <w:keepNext/>
        <w:keepLines/>
        <w:spacing w:before="240" w:after="20"/>
      </w:pPr>
      <w:r>
        <w:t>STEP 8</w:t>
      </w:r>
    </w:p>
    <w:p>
      <w:pPr>
        <w:pStyle w:val="Heading2"/>
        <w:keepNext/>
        <w:keepLines/>
        <w:spacing w:before="180" w:after="100"/>
      </w:pPr>
      <w:r>
        <w:t>Apply suitability and personal limits</w:t>
      </w:r>
    </w:p>
    <w:p>
      <w:pPr>
        <w:pStyle w:val="StepDetail"/>
        <w:keepNext/>
        <w:keepLines/>
        <w:spacing w:after="70"/>
        <w:ind w:left="259" w:right="58"/>
        <w:pBdr>
          <w:start w:val="single" w:sz="18" w:space="5" w:color="2F8F83"/>
        </w:pBdr>
      </w:pPr>
      <w:r>
        <w:rPr>
          <w:b/>
        </w:rPr>
        <w:t>Purpose:</w:t>
      </w:r>
      <w:r>
        <w:t xml:space="preserve"> Use the same boundaries consistently for every route into an investment.</w:t>
      </w:r>
    </w:p>
    <w:p>
      <w:pPr>
        <w:pStyle w:val="StepDetail"/>
        <w:keepNext/>
        <w:keepLines/>
        <w:spacing w:after="70"/>
        <w:ind w:left="259" w:right="58"/>
        <w:pBdr>
          <w:start w:val="single" w:sz="18" w:space="5" w:color="2F8F83"/>
        </w:pBdr>
      </w:pPr>
      <w:r>
        <w:rPr>
          <w:b/>
        </w:rPr>
        <w:t>What happens:</w:t>
      </w:r>
      <w:r>
        <w:t xml:space="preserve"> The Suitability Agent checks the proposed amount against the person's risk band, available cash, cash floor, single-position limit, daily limit and any other active guardrail. Every candidate receives a clear result: it fits, it needs heightened approval attention, or it is blocked. Rejected candidates and their reasons stay visible in the review history.</w:t>
      </w:r>
    </w:p>
    <w:p>
      <w:pPr>
        <w:pStyle w:val="StepDetail"/>
        <w:keepNext/>
        <w:keepLines/>
        <w:spacing w:after="70"/>
        <w:ind w:left="259" w:right="58"/>
        <w:pBdr>
          <w:start w:val="single" w:sz="18" w:space="5" w:color="2F8F83"/>
        </w:pBdr>
      </w:pPr>
      <w:r>
        <w:rPr>
          <w:b/>
        </w:rPr>
        <w:t>What the person sees:</w:t>
      </w:r>
      <w:r>
        <w:t xml:space="preserve"> A direct result explaining which limits were satisfied and which one stopped the candidate.</w:t>
      </w:r>
    </w:p>
    <w:p>
      <w:pPr>
        <w:pStyle w:val="StepDetail"/>
        <w:keepNext w:val="0"/>
        <w:keepLines/>
        <w:spacing w:after="200"/>
        <w:ind w:left="259" w:right="58"/>
        <w:pBdr>
          <w:start w:val="single" w:sz="18" w:space="5" w:color="2F8F83"/>
        </w:pBdr>
      </w:pPr>
      <w:r>
        <w:rPr>
          <w:b/>
        </w:rPr>
        <w:t>What can stop or change the step:</w:t>
      </w:r>
      <w:r>
        <w:t xml:space="preserve"> If a larger suggested amount fails, the agent may return to the minimum amount and check it again. It never keeps the larger amount simply because the product itself was suitable.</w:t>
      </w:r>
    </w:p>
    <w:p>
      <w:pPr>
        <w:pStyle w:val="CalloutLabel"/>
        <w:spacing w:before="160" w:after="20"/>
        <w:ind w:left="230" w:right="115"/>
        <w:shd w:fill="EAF5F2"/>
        <w:pBdr>
          <w:top w:val="single" w:sz="6" w:space="5" w:color="CDD8D5"/>
          <w:start w:val="single" w:sz="18" w:space="5" w:color="2F8F83"/>
          <w:end w:val="single" w:sz="6" w:space="5" w:color="CDD8D5"/>
        </w:pBdr>
      </w:pPr>
      <w:r>
        <w:t>A LIMIT IS NOT A SUGGESTION</w:t>
      </w:r>
    </w:p>
    <w:p>
      <w:pPr>
        <w:pStyle w:val="CalloutBody"/>
        <w:spacing w:before="0" w:after="200"/>
        <w:ind w:left="230" w:right="115"/>
        <w:shd w:fill="EAF5F2"/>
        <w:pBdr>
          <w:bottom w:val="single" w:sz="6" w:space="5" w:color="CDD8D5"/>
          <w:start w:val="single" w:sz="18" w:space="5" w:color="2F8F83"/>
          <w:end w:val="single" w:sz="6" w:space="5" w:color="CDD8D5"/>
        </w:pBdr>
      </w:pPr>
      <w:r>
        <w:t>The same personal boundaries apply whether the idea came from a background search, a conversation with the agent or a product the person selected directly.</w:t>
      </w:r>
    </w:p>
    <w:p>
      <w:pPr>
        <w:spacing w:after="60"/>
      </w:pPr>
    </w:p>
    <w:p>
      <w:pPr>
        <w:pStyle w:val="StepLabel"/>
        <w:keepNext/>
        <w:keepLines/>
        <w:spacing w:before="240" w:after="20"/>
      </w:pPr>
      <w:r>
        <w:t>STEP 9</w:t>
      </w:r>
    </w:p>
    <w:p>
      <w:pPr>
        <w:pStyle w:val="Heading2"/>
        <w:keepNext/>
        <w:keepLines/>
        <w:spacing w:before="180" w:after="100"/>
      </w:pPr>
      <w:r>
        <w:t>Check KYC and AML readiness</w:t>
      </w:r>
    </w:p>
    <w:p>
      <w:pPr>
        <w:pStyle w:val="StepDetail"/>
        <w:keepNext/>
        <w:keepLines/>
        <w:spacing w:after="70"/>
        <w:ind w:left="259" w:right="58"/>
        <w:pBdr>
          <w:start w:val="single" w:sz="18" w:space="5" w:color="2F8F83"/>
        </w:pBdr>
      </w:pPr>
      <w:r>
        <w:rPr>
          <w:b/>
        </w:rPr>
        <w:t>Purpose:</w:t>
      </w:r>
      <w:r>
        <w:t xml:space="preserve"> Make sure the person and the chosen institution are ready for the licensed firm's regulated review before coordination continues.</w:t>
      </w:r>
    </w:p>
    <w:p>
      <w:pPr>
        <w:pStyle w:val="StepDetail"/>
        <w:keepNext/>
        <w:keepLines/>
        <w:spacing w:after="70"/>
        <w:ind w:left="259" w:right="58"/>
        <w:pBdr>
          <w:start w:val="single" w:sz="18" w:space="5" w:color="2F8F83"/>
        </w:pBdr>
      </w:pPr>
      <w:r>
        <w:rPr>
          <w:b/>
        </w:rPr>
        <w:t>What happens:</w:t>
      </w:r>
      <w:r>
        <w:t xml:space="preserve"> The KYC and AML Agent confirms that identity information has been recorded, required declarations are complete, the risk assessment has been completed, the source-of-funds declaration has been recorded and the person has an active relationship with the institution that would execute the investment. It also checks the person's disclosure about whether they are a politically exposed person.</w:t>
      </w:r>
    </w:p>
    <w:p>
      <w:pPr>
        <w:pStyle w:val="StepDetail"/>
        <w:keepNext/>
        <w:keepLines/>
        <w:spacing w:after="70"/>
        <w:ind w:left="259" w:right="58"/>
        <w:pBdr>
          <w:start w:val="single" w:sz="18" w:space="5" w:color="2F8F83"/>
        </w:pBdr>
      </w:pPr>
      <w:r>
        <w:rPr>
          <w:b/>
        </w:rPr>
        <w:t>What the person sees:</w:t>
      </w:r>
      <w:r>
        <w:t xml:space="preserve"> A list of the readiness checks that cleared and any item that still needs attention.</w:t>
      </w:r>
    </w:p>
    <w:p>
      <w:pPr>
        <w:pStyle w:val="StepDetail"/>
        <w:keepNext w:val="0"/>
        <w:keepLines/>
        <w:spacing w:after="200"/>
        <w:ind w:left="259" w:right="58"/>
        <w:pBdr>
          <w:start w:val="single" w:sz="18" w:space="5" w:color="2F8F83"/>
        </w:pBdr>
      </w:pPr>
      <w:r>
        <w:rPr>
          <w:b/>
        </w:rPr>
        <w:t>What can stop or change the step:</w:t>
      </w:r>
      <w:r>
        <w:t xml:space="preserve"> Any missing item stops the proposal from moving forward. If readiness cannot be confirmed, the safe answer is to stop and try again later. The licensed firm may request more documents and always keeps the final KYC and AML decision.</w:t>
      </w:r>
    </w:p>
    <w:p>
      <w:pPr>
        <w:spacing w:after="60"/>
      </w:pPr>
      <w:r/>
    </w:p>
    <w:p>
      <w:pPr>
        <w:pStyle w:val="Heading1"/>
        <w:keepNext/>
        <w:keepLines/>
        <w:spacing w:before="320" w:after="200"/>
        <w:ind w:left="202" w:right="86"/>
        <w:shd w:fill="173B3A"/>
      </w:pPr>
      <w:r>
        <w:t>The AML review in everyday terms</w:t>
      </w:r>
    </w:p>
    <w:p>
      <w:pPr>
        <w:widowControl/>
        <w:spacing w:before="0" w:after="110" w:line="283" w:lineRule="auto"/>
      </w:pPr>
      <w:r>
        <w:t>AML means anti-money laundering. In this journey, the agent's role is to make sure the file is ready to be considered by the licensed institution. It does not replace that institution's compliance team.</w:t>
      </w:r>
    </w:p>
    <w:p>
      <w:pPr>
        <w:pStyle w:val="Heading2"/>
        <w:keepNext/>
        <w:keepLines/>
        <w:spacing w:before="220" w:after="100"/>
      </w:pPr>
      <w:r>
        <w:t>What the agent confirms</w:t>
      </w:r>
    </w:p>
    <w:p>
      <w:pPr>
        <w:pStyle w:val="ListBullet"/>
        <w:keepNext/>
        <w:widowControl/>
        <w:spacing w:before="0" w:after="110" w:line="283" w:lineRule="auto"/>
      </w:pPr>
      <w:r>
        <w:t>Identity information has been supplied and recorded.</w:t>
      </w:r>
    </w:p>
    <w:p>
      <w:pPr>
        <w:pStyle w:val="ListBullet"/>
        <w:widowControl/>
        <w:spacing w:before="0" w:after="110" w:line="283" w:lineRule="auto"/>
      </w:pPr>
      <w:r>
        <w:t>The person's compliance declarations have been completed.</w:t>
      </w:r>
    </w:p>
    <w:p>
      <w:pPr>
        <w:pStyle w:val="ListBullet"/>
        <w:widowControl/>
        <w:spacing w:before="0" w:after="110" w:line="283" w:lineRule="auto"/>
      </w:pPr>
      <w:r>
        <w:t>The risk fact-find has been completed.</w:t>
      </w:r>
    </w:p>
    <w:p>
      <w:pPr>
        <w:pStyle w:val="ListBullet"/>
        <w:widowControl/>
        <w:spacing w:before="0" w:after="110" w:line="283" w:lineRule="auto"/>
      </w:pPr>
      <w:r>
        <w:t>The person has stated where the investment money comes from and has provided the evidence requested for that statement.</w:t>
      </w:r>
    </w:p>
    <w:p>
      <w:pPr>
        <w:pStyle w:val="ListBullet"/>
        <w:widowControl/>
        <w:spacing w:before="0" w:after="110" w:line="283" w:lineRule="auto"/>
      </w:pPr>
      <w:r>
        <w:t>The person has an active account with the institution that would execute the order.</w:t>
      </w:r>
    </w:p>
    <w:p>
      <w:pPr>
        <w:pStyle w:val="ListBullet"/>
        <w:widowControl/>
        <w:spacing w:before="0" w:after="110" w:line="283" w:lineRule="auto"/>
      </w:pPr>
      <w:r>
        <w:t>The politically exposed person declaration is recorded. If the person has disclosed that status, the institution remains responsible for any enhanced review.</w:t>
      </w:r>
    </w:p>
    <w:p>
      <w:pPr>
        <w:pStyle w:val="Heading2"/>
        <w:keepNext/>
        <w:keepLines/>
        <w:spacing w:before="220" w:after="100"/>
      </w:pPr>
      <w:r>
        <w:t>What happens when something is missing</w:t>
      </w:r>
    </w:p>
    <w:p>
      <w:pPr>
        <w:keepNext/>
        <w:widowControl/>
        <w:spacing w:before="0" w:after="110" w:line="283" w:lineRule="auto"/>
      </w:pPr>
      <w:r>
        <w:t>The agent names the missing item and stops the investment journey at that point. It does not treat silence as approval. The person may be asked to provide an identity document, proof of address, a payslip, a bank statement or another document required by the institution. Once the institution has reviewed the information and updated the person's standing, the investment can be considered again.</w:t>
      </w:r>
    </w:p>
    <w:p>
      <w:pPr>
        <w:pStyle w:val="Heading2"/>
        <w:keepNext/>
        <w:keepLines/>
        <w:spacing w:before="220" w:after="100"/>
      </w:pPr>
      <w:r>
        <w:t>What the licensed institution decides</w:t>
      </w:r>
    </w:p>
    <w:p>
      <w:pPr>
        <w:keepNext/>
        <w:widowControl/>
        <w:spacing w:before="0" w:after="110" w:line="283" w:lineRule="auto"/>
      </w:pPr>
      <w:r>
        <w:t>The institution decides whether the person may become or remain a client, whether the evidence is sufficient, whether additional checks are required and whether the proposed investment is acceptable under its own obligations. It can approve, request more information or decline. The agent reports that outcome but does not overrule it.</w:t>
      </w:r>
    </w:p>
    <w:p>
      <w:pPr>
        <w:pStyle w:val="CalloutLabel"/>
        <w:spacing w:before="160" w:after="20"/>
        <w:ind w:left="230" w:right="115"/>
        <w:shd w:fill="EAF5F2"/>
        <w:pBdr>
          <w:top w:val="single" w:sz="6" w:space="5" w:color="CDD8D5"/>
          <w:start w:val="single" w:sz="18" w:space="5" w:color="2F8F83"/>
          <w:end w:val="single" w:sz="6" w:space="5" w:color="CDD8D5"/>
        </w:pBdr>
      </w:pPr>
      <w:r>
        <w:t>CLEAR DIVISION OF RESPONSIBILITY</w:t>
      </w:r>
    </w:p>
    <w:p>
      <w:pPr>
        <w:pStyle w:val="CalloutBody"/>
        <w:spacing w:before="0" w:after="200"/>
        <w:ind w:left="230" w:right="115"/>
        <w:shd w:fill="EAF5F2"/>
        <w:pBdr>
          <w:bottom w:val="single" w:sz="6" w:space="5" w:color="CDD8D5"/>
          <w:start w:val="single" w:sz="18" w:space="5" w:color="2F8F83"/>
          <w:end w:val="single" w:sz="6" w:space="5" w:color="CDD8D5"/>
        </w:pBdr>
      </w:pPr>
      <w:r>
        <w:t>CCN prepares and records the readiness picture. The licensed institution owns the final KYC, AML and suitability decision.</w:t>
      </w:r>
    </w:p>
    <w:p>
      <w:pPr>
        <w:spacing w:after="60"/>
      </w:pPr>
    </w:p>
    <w:p>
      <w:pPr>
        <w:spacing w:after="60"/>
      </w:pPr>
      <w:r/>
    </w:p>
    <w:p>
      <w:pPr>
        <w:pStyle w:val="Heading1"/>
        <w:keepNext/>
        <w:keepLines/>
        <w:spacing w:before="320" w:after="200"/>
        <w:ind w:left="202" w:right="86"/>
        <w:shd w:fill="173B3A"/>
        <w:pageBreakBefore/>
      </w:pPr>
      <w:r>
        <w:t>From a cleared candidate to a decision</w:t>
      </w:r>
    </w:p>
    <w:p>
      <w:pPr>
        <w:pStyle w:val="StepLabel"/>
        <w:keepNext/>
        <w:keepLines/>
        <w:spacing w:before="240" w:after="20"/>
      </w:pPr>
      <w:r>
        <w:t>STEP 10</w:t>
      </w:r>
    </w:p>
    <w:p>
      <w:pPr>
        <w:pStyle w:val="Heading2"/>
        <w:keepNext/>
        <w:keepLines/>
        <w:spacing w:before="180" w:after="100"/>
      </w:pPr>
      <w:r>
        <w:t>Add diaspora context</w:t>
      </w:r>
    </w:p>
    <w:p>
      <w:pPr>
        <w:pStyle w:val="StepDetail"/>
        <w:keepNext/>
        <w:keepLines/>
        <w:spacing w:after="70"/>
        <w:ind w:left="259" w:right="58"/>
        <w:pBdr>
          <w:start w:val="single" w:sz="18" w:space="5" w:color="2F8F83"/>
        </w:pBdr>
      </w:pPr>
      <w:r>
        <w:rPr>
          <w:b/>
        </w:rPr>
        <w:t>Purpose:</w:t>
      </w:r>
      <w:r>
        <w:t xml:space="preserve"> Help a person living abroad understand whether a Caribbean option is genuinely useful compared with familiar alternatives.</w:t>
      </w:r>
    </w:p>
    <w:p>
      <w:pPr>
        <w:pStyle w:val="StepDetail"/>
        <w:keepNext/>
        <w:keepLines/>
        <w:spacing w:after="70"/>
        <w:ind w:left="259" w:right="58"/>
        <w:pBdr>
          <w:start w:val="single" w:sz="18" w:space="5" w:color="2F8F83"/>
        </w:pBdr>
      </w:pPr>
      <w:r>
        <w:rPr>
          <w:b/>
        </w:rPr>
        <w:t>What happens:</w:t>
      </w:r>
      <w:r>
        <w:t xml:space="preserve"> The agent compares the regional candidate with a similar type of investment in the United States, Canada or the United Kingdom. It considers diversification, currency exposure, access to money, expected settlement timing, fees, tax and reporting considerations, and investor protections. It names any point that still requires professional confirmation.</w:t>
      </w:r>
    </w:p>
    <w:p>
      <w:pPr>
        <w:pStyle w:val="StepDetail"/>
        <w:keepNext/>
        <w:keepLines/>
        <w:spacing w:after="70"/>
        <w:ind w:left="259" w:right="58"/>
        <w:pBdr>
          <w:start w:val="single" w:sz="18" w:space="5" w:color="2F8F83"/>
        </w:pBdr>
      </w:pPr>
      <w:r>
        <w:rPr>
          <w:b/>
        </w:rPr>
        <w:t>What the person sees:</w:t>
      </w:r>
      <w:r>
        <w:t xml:space="preserve"> A balanced comparison that explains where the regional option may help, where an overseas option may be stronger, and what is not yet known.</w:t>
      </w:r>
    </w:p>
    <w:p>
      <w:pPr>
        <w:pStyle w:val="StepDetail"/>
        <w:keepNext w:val="0"/>
        <w:keepLines/>
        <w:spacing w:after="200"/>
        <w:ind w:left="259" w:right="58"/>
        <w:pBdr>
          <w:start w:val="single" w:sz="18" w:space="5" w:color="2F8F83"/>
        </w:pBdr>
      </w:pPr>
      <w:r>
        <w:rPr>
          <w:b/>
        </w:rPr>
        <w:t>What can stop or change the step:</w:t>
      </w:r>
      <w:r>
        <w:t xml:space="preserve"> The agent never assumes that a Caribbean product is better simply because it is regional. It also does not claim a tax, return or liquidity advantage without support.</w:t>
      </w:r>
    </w:p>
    <w:p>
      <w:pPr>
        <w:pStyle w:val="StepLabel"/>
        <w:keepNext/>
        <w:keepLines/>
        <w:spacing w:before="240" w:after="20"/>
      </w:pPr>
      <w:r>
        <w:t>STEP 11</w:t>
      </w:r>
    </w:p>
    <w:p>
      <w:pPr>
        <w:pStyle w:val="Heading2"/>
        <w:keepNext/>
        <w:keepLines/>
        <w:spacing w:before="180" w:after="100"/>
      </w:pPr>
      <w:r>
        <w:t>Choose the candidate and size the amount</w:t>
      </w:r>
    </w:p>
    <w:p>
      <w:pPr>
        <w:pStyle w:val="StepDetail"/>
        <w:keepNext/>
        <w:keepLines/>
        <w:spacing w:after="70"/>
        <w:ind w:left="259" w:right="58"/>
        <w:pBdr>
          <w:start w:val="single" w:sz="18" w:space="5" w:color="2F8F83"/>
        </w:pBdr>
      </w:pPr>
      <w:r>
        <w:rPr>
          <w:b/>
        </w:rPr>
        <w:t>Purpose:</w:t>
      </w:r>
      <w:r>
        <w:t xml:space="preserve"> Turn the reviews into one understandable proposal, or decide that no proposal should be made.</w:t>
      </w:r>
    </w:p>
    <w:p>
      <w:pPr>
        <w:pStyle w:val="StepDetail"/>
        <w:keepNext/>
        <w:keepLines/>
        <w:spacing w:after="70"/>
        <w:ind w:left="259" w:right="58"/>
        <w:pBdr>
          <w:start w:val="single" w:sz="18" w:space="5" w:color="2F8F83"/>
        </w:pBdr>
      </w:pPr>
      <w:r>
        <w:rPr>
          <w:b/>
        </w:rPr>
        <w:t>What happens:</w:t>
      </w:r>
      <w:r>
        <w:t xml:space="preserve"> The Coordinator selects the first candidate that has adequate evidence, good enough personal fit, a suitable limits result and clear compliance readiness. It starts with the product's minimum investment and may suggest a larger amount when that better supports the person's goal. Any larger amount is checked again against the same limits.</w:t>
      </w:r>
    </w:p>
    <w:p>
      <w:pPr>
        <w:pStyle w:val="StepDetail"/>
        <w:keepNext/>
        <w:keepLines/>
        <w:spacing w:after="70"/>
        <w:ind w:left="259" w:right="58"/>
        <w:pBdr>
          <w:start w:val="single" w:sz="18" w:space="5" w:color="2F8F83"/>
        </w:pBdr>
      </w:pPr>
      <w:r>
        <w:rPr>
          <w:b/>
        </w:rPr>
        <w:t>What the person sees:</w:t>
      </w:r>
      <w:r>
        <w:t xml:space="preserve"> One candidate, one proposed amount and a plain reason for both.</w:t>
      </w:r>
    </w:p>
    <w:p>
      <w:pPr>
        <w:pStyle w:val="StepDetail"/>
        <w:keepNext w:val="0"/>
        <w:keepLines/>
        <w:spacing w:after="200"/>
        <w:ind w:left="259" w:right="58"/>
        <w:pBdr>
          <w:start w:val="single" w:sz="18" w:space="5" w:color="2F8F83"/>
        </w:pBdr>
      </w:pPr>
      <w:r>
        <w:rPr>
          <w:b/>
        </w:rPr>
        <w:t>What can stop or change the step:</w:t>
      </w:r>
      <w:r>
        <w:t xml:space="preserve"> If no candidate clears every required review, the result is 'nothing suitable to propose now.' That is a successful protective outcome, not an error.</w:t>
      </w:r>
    </w:p>
    <w:p>
      <w:pPr>
        <w:pStyle w:val="StepLabel"/>
        <w:keepNext/>
        <w:keepLines/>
        <w:spacing w:before="240" w:after="20"/>
      </w:pPr>
      <w:r>
        <w:t>STEP 12</w:t>
      </w:r>
    </w:p>
    <w:p>
      <w:pPr>
        <w:pStyle w:val="Heading2"/>
        <w:keepNext/>
        <w:keepLines/>
        <w:spacing w:before="180" w:after="100"/>
      </w:pPr>
      <w:r>
        <w:t>Prepare the approval card</w:t>
      </w:r>
    </w:p>
    <w:p>
      <w:pPr>
        <w:pStyle w:val="StepDetail"/>
        <w:keepNext/>
        <w:keepLines/>
        <w:spacing w:after="70"/>
        <w:ind w:left="259" w:right="58"/>
        <w:pBdr>
          <w:start w:val="single" w:sz="18" w:space="5" w:color="2F8F83"/>
        </w:pBdr>
      </w:pPr>
      <w:r>
        <w:rPr>
          <w:b/>
        </w:rPr>
        <w:t>Purpose:</w:t>
      </w:r>
      <w:r>
        <w:t xml:space="preserve"> Give the person enough information to make a deliberate decision.</w:t>
      </w:r>
    </w:p>
    <w:p>
      <w:pPr>
        <w:pStyle w:val="StepDetail"/>
        <w:keepNext/>
        <w:keepLines/>
        <w:spacing w:after="70"/>
        <w:ind w:left="259" w:right="58"/>
        <w:pBdr>
          <w:start w:val="single" w:sz="18" w:space="5" w:color="2F8F83"/>
        </w:pBdr>
      </w:pPr>
      <w:r>
        <w:rPr>
          <w:b/>
        </w:rPr>
        <w:t>What happens:</w:t>
      </w:r>
      <w:r>
        <w:t xml:space="preserve"> The agent brings the recommendation into one card. It shows the product and institution, the amount and currency, the risk description, research strength, portfolio fit, the main reasons and concerns, the limits result, the diaspora comparison, known fees and taxes, and a stage-by-stage explanation of how the decision was reached.</w:t>
      </w:r>
    </w:p>
    <w:p>
      <w:pPr>
        <w:pStyle w:val="StepDetail"/>
        <w:keepNext/>
        <w:keepLines/>
        <w:spacing w:after="70"/>
        <w:ind w:left="259" w:right="58"/>
        <w:pBdr>
          <w:start w:val="single" w:sz="18" w:space="5" w:color="2F8F83"/>
        </w:pBdr>
      </w:pPr>
      <w:r>
        <w:rPr>
          <w:b/>
        </w:rPr>
        <w:t>What the person sees:</w:t>
      </w:r>
      <w:r>
        <w:t xml:space="preserve"> A choice to approve or reject, supported by the evidence and the full reasoning trail.</w:t>
      </w:r>
    </w:p>
    <w:p>
      <w:pPr>
        <w:pStyle w:val="StepDetail"/>
        <w:keepNext w:val="0"/>
        <w:keepLines/>
        <w:spacing w:after="200"/>
        <w:ind w:left="259" w:right="58"/>
        <w:pBdr>
          <w:start w:val="single" w:sz="18" w:space="5" w:color="2F8F83"/>
        </w:pBdr>
      </w:pPr>
      <w:r>
        <w:rPr>
          <w:b/>
        </w:rPr>
        <w:t>What can stop or change the step:</w:t>
      </w:r>
      <w:r>
        <w:t xml:space="preserve"> The card remains only a proposal. No money moves and no order exists merely because the card was prepared.</w:t>
      </w:r>
    </w:p>
    <w:p>
      <w:pPr>
        <w:spacing w:after="60"/>
      </w:pPr>
      <w:r/>
    </w:p>
    <w:p>
      <w:pPr>
        <w:pStyle w:val="Heading1"/>
        <w:keepNext/>
        <w:keepLines/>
        <w:spacing w:before="320" w:after="200"/>
        <w:ind w:left="202" w:right="86"/>
        <w:shd w:fill="173B3A"/>
        <w:pageBreakBefore/>
      </w:pPr>
      <w:r>
        <w:t>Approval, execution and settlement</w:t>
      </w:r>
    </w:p>
    <w:p>
      <w:pPr>
        <w:pStyle w:val="StepLabel"/>
        <w:keepNext/>
        <w:keepLines/>
        <w:spacing w:before="240" w:after="20"/>
      </w:pPr>
      <w:r>
        <w:t>STEP 13</w:t>
      </w:r>
    </w:p>
    <w:p>
      <w:pPr>
        <w:pStyle w:val="Heading2"/>
        <w:keepNext/>
        <w:keepLines/>
        <w:spacing w:before="180" w:after="100"/>
      </w:pPr>
      <w:r>
        <w:t>Wait for the person's decision</w:t>
      </w:r>
    </w:p>
    <w:p>
      <w:pPr>
        <w:pStyle w:val="StepDetail"/>
        <w:keepNext/>
        <w:keepLines/>
        <w:spacing w:after="70"/>
        <w:ind w:left="259" w:right="58"/>
        <w:pBdr>
          <w:start w:val="single" w:sz="18" w:space="5" w:color="2F8F83"/>
        </w:pBdr>
      </w:pPr>
      <w:r>
        <w:rPr>
          <w:b/>
        </w:rPr>
        <w:t>Purpose:</w:t>
      </w:r>
      <w:r>
        <w:t xml:space="preserve"> Keep the person in control of every move.</w:t>
      </w:r>
    </w:p>
    <w:p>
      <w:pPr>
        <w:pStyle w:val="StepDetail"/>
        <w:keepNext/>
        <w:keepLines/>
        <w:spacing w:after="70"/>
        <w:ind w:left="259" w:right="58"/>
        <w:pBdr>
          <w:start w:val="single" w:sz="18" w:space="5" w:color="2F8F83"/>
        </w:pBdr>
      </w:pPr>
      <w:r>
        <w:rPr>
          <w:b/>
        </w:rPr>
        <w:t>What happens:</w:t>
      </w:r>
      <w:r>
        <w:t xml:space="preserve"> The person reviews the approval card and chooses approve or reject. Rejection ends the proposed move and records the choice. Approval authorizes the instruction to continue, but the current product, limits and compliance readiness are checked again because circumstances may have changed while the card was waiting.</w:t>
      </w:r>
    </w:p>
    <w:p>
      <w:pPr>
        <w:pStyle w:val="StepDetail"/>
        <w:keepNext/>
        <w:keepLines/>
        <w:spacing w:after="70"/>
        <w:ind w:left="259" w:right="58"/>
        <w:pBdr>
          <w:start w:val="single" w:sz="18" w:space="5" w:color="2F8F83"/>
        </w:pBdr>
      </w:pPr>
      <w:r>
        <w:rPr>
          <w:b/>
        </w:rPr>
        <w:t>What the person sees:</w:t>
      </w:r>
      <w:r>
        <w:t xml:space="preserve"> A clear confirmation of the decision and, if approved, the next institution responsible for action.</w:t>
      </w:r>
    </w:p>
    <w:p>
      <w:pPr>
        <w:pStyle w:val="StepDetail"/>
        <w:keepNext w:val="0"/>
        <w:keepLines/>
        <w:spacing w:after="200"/>
        <w:ind w:left="259" w:right="58"/>
        <w:pBdr>
          <w:start w:val="single" w:sz="18" w:space="5" w:color="2F8F83"/>
        </w:pBdr>
      </w:pPr>
      <w:r>
        <w:rPr>
          <w:b/>
        </w:rPr>
        <w:t>What can stop or change the step:</w:t>
      </w:r>
      <w:r>
        <w:t xml:space="preserve"> If the product has been withdrawn, a limit has changed or compliance readiness is no longer clear, approval is stopped and the person is told why.</w:t>
      </w:r>
    </w:p>
    <w:p>
      <w:pPr>
        <w:pStyle w:val="StepLabel"/>
        <w:keepNext/>
        <w:keepLines/>
        <w:spacing w:before="240" w:after="20"/>
      </w:pPr>
      <w:r>
        <w:t>STEP 14</w:t>
      </w:r>
    </w:p>
    <w:p>
      <w:pPr>
        <w:pStyle w:val="Heading2"/>
        <w:keepNext/>
        <w:keepLines/>
        <w:spacing w:before="180" w:after="100"/>
      </w:pPr>
      <w:r>
        <w:t>Route the instruction to the licensed firm</w:t>
      </w:r>
    </w:p>
    <w:p>
      <w:pPr>
        <w:pStyle w:val="StepDetail"/>
        <w:keepNext/>
        <w:keepLines/>
        <w:spacing w:after="70"/>
        <w:ind w:left="259" w:right="58"/>
        <w:pBdr>
          <w:start w:val="single" w:sz="18" w:space="5" w:color="2F8F83"/>
        </w:pBdr>
      </w:pPr>
      <w:r>
        <w:rPr>
          <w:b/>
        </w:rPr>
        <w:t>Purpose:</w:t>
      </w:r>
      <w:r>
        <w:t xml:space="preserve"> Place the approved request with the institution that is legally responsible for the transaction.</w:t>
      </w:r>
    </w:p>
    <w:p>
      <w:pPr>
        <w:pStyle w:val="StepDetail"/>
        <w:keepNext/>
        <w:keepLines/>
        <w:spacing w:after="70"/>
        <w:ind w:left="259" w:right="58"/>
        <w:pBdr>
          <w:start w:val="single" w:sz="18" w:space="5" w:color="2F8F83"/>
        </w:pBdr>
      </w:pPr>
      <w:r>
        <w:rPr>
          <w:b/>
        </w:rPr>
        <w:t>What happens:</w:t>
      </w:r>
      <w:r>
        <w:t xml:space="preserve"> The instruction goes to the named licensed institution. The institution may accept it, decline it or request more information. Once accepted, the institution executes the transaction, holds the resulting asset and controls the settlement process.</w:t>
      </w:r>
    </w:p>
    <w:p>
      <w:pPr>
        <w:pStyle w:val="StepDetail"/>
        <w:keepNext/>
        <w:keepLines/>
        <w:spacing w:after="70"/>
        <w:ind w:left="259" w:right="58"/>
        <w:pBdr>
          <w:start w:val="single" w:sz="18" w:space="5" w:color="2F8F83"/>
        </w:pBdr>
      </w:pPr>
      <w:r>
        <w:rPr>
          <w:b/>
        </w:rPr>
        <w:t>What the person sees:</w:t>
      </w:r>
      <w:r>
        <w:t xml:space="preserve"> Order status that identifies the institution and shows whether the request is awaiting acceptance, accepted, settled, rejected or expired.</w:t>
      </w:r>
    </w:p>
    <w:p>
      <w:pPr>
        <w:pStyle w:val="StepDetail"/>
        <w:keepNext w:val="0"/>
        <w:keepLines/>
        <w:spacing w:after="200"/>
        <w:ind w:left="259" w:right="58"/>
        <w:pBdr>
          <w:start w:val="single" w:sz="18" w:space="5" w:color="2F8F83"/>
        </w:pBdr>
      </w:pPr>
      <w:r>
        <w:rPr>
          <w:b/>
        </w:rPr>
        <w:t>What can stop or change the step:</w:t>
      </w:r>
      <w:r>
        <w:t xml:space="preserve"> The institution can say no. When a reason is required, its reason is shown in its own words.</w:t>
      </w:r>
    </w:p>
    <w:p>
      <w:pPr>
        <w:pStyle w:val="StepLabel"/>
        <w:keepNext/>
        <w:keepLines/>
        <w:spacing w:before="240" w:after="20"/>
      </w:pPr>
      <w:r>
        <w:t>STEP 15</w:t>
      </w:r>
    </w:p>
    <w:p>
      <w:pPr>
        <w:pStyle w:val="Heading2"/>
        <w:keepNext/>
        <w:keepLines/>
        <w:spacing w:before="180" w:after="100"/>
      </w:pPr>
      <w:r>
        <w:t>Settle and confirm what actually happened</w:t>
      </w:r>
    </w:p>
    <w:p>
      <w:pPr>
        <w:pStyle w:val="StepDetail"/>
        <w:keepNext/>
        <w:keepLines/>
        <w:spacing w:after="70"/>
        <w:ind w:left="259" w:right="58"/>
        <w:pBdr>
          <w:start w:val="single" w:sz="18" w:space="5" w:color="2F8F83"/>
        </w:pBdr>
      </w:pPr>
      <w:r>
        <w:rPr>
          <w:b/>
        </w:rPr>
        <w:t>Purpose:</w:t>
      </w:r>
      <w:r>
        <w:t xml:space="preserve"> Replace the proposal with the institution's final facts.</w:t>
      </w:r>
    </w:p>
    <w:p>
      <w:pPr>
        <w:pStyle w:val="StepDetail"/>
        <w:keepNext/>
        <w:keepLines/>
        <w:spacing w:after="70"/>
        <w:ind w:left="259" w:right="58"/>
        <w:pBdr>
          <w:start w:val="single" w:sz="18" w:space="5" w:color="2F8F83"/>
        </w:pBdr>
      </w:pPr>
      <w:r>
        <w:rPr>
          <w:b/>
        </w:rPr>
        <w:t>What happens:</w:t>
      </w:r>
      <w:r>
        <w:t xml:space="preserve"> At settlement, the institution reports the actual price, quantity, fee, reference and settlement date. The person's holdings and cash are updated only when the institution confirms the completed event. A contract note is produced from the values the institution actually reported.</w:t>
      </w:r>
    </w:p>
    <w:p>
      <w:pPr>
        <w:pStyle w:val="StepDetail"/>
        <w:keepNext/>
        <w:keepLines/>
        <w:spacing w:after="70"/>
        <w:ind w:left="259" w:right="58"/>
        <w:pBdr>
          <w:start w:val="single" w:sz="18" w:space="5" w:color="2F8F83"/>
        </w:pBdr>
      </w:pPr>
      <w:r>
        <w:rPr>
          <w:b/>
        </w:rPr>
        <w:t>What the person sees:</w:t>
      </w:r>
      <w:r>
        <w:t xml:space="preserve"> A final confirmation and printable contract note naming the institution, regulator, product, price, quantity, fee and references that are available.</w:t>
      </w:r>
    </w:p>
    <w:p>
      <w:pPr>
        <w:pStyle w:val="StepDetail"/>
        <w:keepNext w:val="0"/>
        <w:keepLines/>
        <w:spacing w:after="200"/>
        <w:ind w:left="259" w:right="58"/>
        <w:pBdr>
          <w:start w:val="single" w:sz="18" w:space="5" w:color="2F8F83"/>
        </w:pBdr>
      </w:pPr>
      <w:r>
        <w:rPr>
          <w:b/>
        </w:rPr>
        <w:t>What can stop or change the step:</w:t>
      </w:r>
      <w:r>
        <w:t xml:space="preserve"> A missing settlement value is left blank rather than guessed. The agent does not turn an estimate into a final fact.</w:t>
      </w:r>
    </w:p>
    <w:p>
      <w:pPr>
        <w:pStyle w:val="StepLabel"/>
        <w:keepNext/>
        <w:keepLines/>
        <w:spacing w:before="240" w:after="20"/>
      </w:pPr>
      <w:r>
        <w:t>STEP 16</w:t>
      </w:r>
    </w:p>
    <w:p>
      <w:pPr>
        <w:pStyle w:val="Heading2"/>
        <w:keepNext/>
        <w:keepLines/>
        <w:spacing w:before="180" w:after="100"/>
      </w:pPr>
      <w:r>
        <w:t>Continue monitoring and explaining</w:t>
      </w:r>
    </w:p>
    <w:p>
      <w:pPr>
        <w:pStyle w:val="StepDetail"/>
        <w:keepNext/>
        <w:keepLines/>
        <w:spacing w:after="70"/>
        <w:ind w:left="259" w:right="58"/>
        <w:pBdr>
          <w:start w:val="single" w:sz="18" w:space="5" w:color="2F8F83"/>
        </w:pBdr>
      </w:pPr>
      <w:r>
        <w:rPr>
          <w:b/>
        </w:rPr>
        <w:t>Purpose:</w:t>
      </w:r>
      <w:r>
        <w:t xml:space="preserve"> Help the person understand what is waiting, what changed and what may deserve attention next.</w:t>
      </w:r>
    </w:p>
    <w:p>
      <w:pPr>
        <w:pStyle w:val="StepDetail"/>
        <w:keepNext/>
        <w:keepLines/>
        <w:spacing w:after="70"/>
        <w:ind w:left="259" w:right="58"/>
        <w:pBdr>
          <w:start w:val="single" w:sz="18" w:space="5" w:color="2F8F83"/>
        </w:pBdr>
      </w:pPr>
      <w:r>
        <w:rPr>
          <w:b/>
        </w:rPr>
        <w:t>What happens:</w:t>
      </w:r>
      <w:r>
        <w:t xml:space="preserve"> The Account Assistant can explain pending approvals, order status, firm connections, portfolio allocation, goal progress and recent activity. Background reviews may look for new suitable products, but a recent proposal or trade creates a quiet period so the same idea is not repeatedly raised.</w:t>
      </w:r>
    </w:p>
    <w:p>
      <w:pPr>
        <w:pStyle w:val="StepDetail"/>
        <w:keepNext/>
        <w:keepLines/>
        <w:spacing w:after="70"/>
        <w:ind w:left="259" w:right="58"/>
        <w:pBdr>
          <w:start w:val="single" w:sz="18" w:space="5" w:color="2F8F83"/>
        </w:pBdr>
      </w:pPr>
      <w:r>
        <w:rPr>
          <w:b/>
        </w:rPr>
        <w:t>What the person sees:</w:t>
      </w:r>
      <w:r>
        <w:t xml:space="preserve"> A current summary of what needs the person's attention and what happens next.</w:t>
      </w:r>
    </w:p>
    <w:p>
      <w:pPr>
        <w:pStyle w:val="StepDetail"/>
        <w:keepNext w:val="0"/>
        <w:keepLines/>
        <w:spacing w:after="200"/>
        <w:ind w:left="259" w:right="58"/>
        <w:pBdr>
          <w:start w:val="single" w:sz="18" w:space="5" w:color="2F8F83"/>
        </w:pBdr>
      </w:pPr>
      <w:r>
        <w:rPr>
          <w:b/>
        </w:rPr>
        <w:t>What can stop or change the step:</w:t>
      </w:r>
      <w:r>
        <w:t xml:space="preserve"> A new idea still follows every earlier review and still waits for approval.</w:t>
      </w:r>
    </w:p>
    <w:p>
      <w:pPr>
        <w:spacing w:after="60"/>
      </w:pPr>
      <w:r/>
    </w:p>
    <w:p>
      <w:pPr>
        <w:pStyle w:val="Heading1"/>
        <w:keepNext/>
        <w:keepLines/>
        <w:spacing w:before="320" w:after="200"/>
        <w:ind w:left="202" w:right="86"/>
        <w:shd w:fill="173B3A"/>
      </w:pPr>
      <w:r>
        <w:t>The specialists and their responsibilities</w:t>
      </w:r>
    </w:p>
    <w:p>
      <w:pPr>
        <w:pStyle w:val="Heading2"/>
        <w:keepNext/>
        <w:keepLines/>
        <w:spacing w:before="220" w:after="100"/>
      </w:pPr>
      <w:r>
        <w:t>Research Agent</w:t>
      </w:r>
    </w:p>
    <w:p>
      <w:pPr>
        <w:keepNext/>
        <w:widowControl/>
        <w:spacing w:before="0" w:after="110" w:line="283" w:lineRule="auto"/>
      </w:pPr>
      <w:r>
        <w:t>Finds live candidates, studies the available product information, labels the strength of support, removes contradictions and creates the shortlist.</w:t>
      </w:r>
    </w:p>
    <w:p>
      <w:pPr>
        <w:keepLines/>
        <w:spacing w:after="180"/>
        <w:ind w:left="230"/>
      </w:pPr>
      <w:r>
        <w:rPr>
          <w:b/>
        </w:rPr>
        <w:t>Produces:</w:t>
      </w:r>
      <w:r>
        <w:t xml:space="preserve"> A ranked shortlist and an evidence summary.</w:t>
      </w:r>
    </w:p>
    <w:p>
      <w:pPr>
        <w:pStyle w:val="Heading2"/>
        <w:keepNext/>
        <w:keepLines/>
        <w:spacing w:before="220" w:after="100"/>
      </w:pPr>
      <w:r>
        <w:t>Portfolio Fit Agent</w:t>
      </w:r>
    </w:p>
    <w:p>
      <w:pPr>
        <w:keepNext/>
        <w:widowControl/>
        <w:spacing w:before="0" w:after="110" w:line="283" w:lineRule="auto"/>
      </w:pPr>
      <w:r>
        <w:t>Compares each candidate with the person's holdings, currencies, concentration and goals. It looks for both helpful gaps and harmful duplication.</w:t>
      </w:r>
    </w:p>
    <w:p>
      <w:pPr>
        <w:keepLines/>
        <w:spacing w:after="180"/>
        <w:ind w:left="230"/>
      </w:pPr>
      <w:r>
        <w:rPr>
          <w:b/>
        </w:rPr>
        <w:t>Produces:</w:t>
      </w:r>
      <w:r>
        <w:t xml:space="preserve"> A fit score with reasons and concerns.</w:t>
      </w:r>
    </w:p>
    <w:p>
      <w:pPr>
        <w:pStyle w:val="Heading2"/>
        <w:keepNext/>
        <w:keepLines/>
        <w:spacing w:before="220" w:after="100"/>
      </w:pPr>
      <w:r>
        <w:t>Suitability Agent</w:t>
      </w:r>
    </w:p>
    <w:p>
      <w:pPr>
        <w:keepNext/>
        <w:widowControl/>
        <w:spacing w:before="0" w:after="110" w:line="283" w:lineRule="auto"/>
      </w:pPr>
      <w:r>
        <w:t>Checks the proposed amount against the person's risk band, cash floor and position limits, using the same boundaries every time.</w:t>
      </w:r>
    </w:p>
    <w:p>
      <w:pPr>
        <w:keepLines/>
        <w:spacing w:after="180"/>
        <w:ind w:left="230"/>
      </w:pPr>
      <w:r>
        <w:rPr>
          <w:b/>
        </w:rPr>
        <w:t>Produces:</w:t>
      </w:r>
      <w:r>
        <w:t xml:space="preserve"> A clear fit, heightened-approval or blocked result.</w:t>
      </w:r>
    </w:p>
    <w:p>
      <w:pPr>
        <w:pStyle w:val="Heading2"/>
        <w:keepNext/>
        <w:keepLines/>
        <w:spacing w:before="220" w:after="100"/>
      </w:pPr>
      <w:r>
        <w:t>KYC and AML Agent</w:t>
      </w:r>
    </w:p>
    <w:p>
      <w:pPr>
        <w:keepNext/>
        <w:widowControl/>
        <w:spacing w:before="0" w:after="110" w:line="283" w:lineRule="auto"/>
      </w:pPr>
      <w:r>
        <w:t>Checks whether identity, declarations, source-of-funds information, risk information and the executing-firm relationship are ready for the licensed firm's review.</w:t>
      </w:r>
    </w:p>
    <w:p>
      <w:pPr>
        <w:keepLines/>
        <w:spacing w:after="180"/>
        <w:ind w:left="230"/>
      </w:pPr>
      <w:r>
        <w:rPr>
          <w:b/>
        </w:rPr>
        <w:t>Produces:</w:t>
      </w:r>
      <w:r>
        <w:t xml:space="preserve"> A readiness result that stops when required information is missing.</w:t>
      </w:r>
    </w:p>
    <w:p>
      <w:pPr>
        <w:pStyle w:val="Heading2"/>
        <w:keepNext/>
        <w:keepLines/>
        <w:spacing w:before="220" w:after="100"/>
      </w:pPr>
      <w:r>
        <w:t>Coordinator</w:t>
      </w:r>
    </w:p>
    <w:p>
      <w:pPr>
        <w:keepNext/>
        <w:widowControl/>
        <w:spacing w:before="0" w:after="110" w:line="283" w:lineRule="auto"/>
      </w:pPr>
      <w:r>
        <w:t>Selects the strongest cleared candidate, sizes the amount, checks any larger amount again and prepares the approval card.</w:t>
      </w:r>
    </w:p>
    <w:p>
      <w:pPr>
        <w:keepLines/>
        <w:spacing w:after="180"/>
        <w:ind w:left="230"/>
      </w:pPr>
      <w:r>
        <w:rPr>
          <w:b/>
        </w:rPr>
        <w:t>Produces:</w:t>
      </w:r>
      <w:r>
        <w:t xml:space="preserve"> One explained proposal, or a clear decision to propose nothing.</w:t>
      </w:r>
    </w:p>
    <w:p>
      <w:pPr>
        <w:pStyle w:val="Heading2"/>
        <w:keepNext/>
        <w:keepLines/>
        <w:spacing w:before="220" w:after="100"/>
      </w:pPr>
      <w:r>
        <w:t>Account Assistant</w:t>
      </w:r>
    </w:p>
    <w:p>
      <w:pPr>
        <w:keepNext/>
        <w:widowControl/>
        <w:spacing w:before="0" w:after="110" w:line="283" w:lineRule="auto"/>
      </w:pPr>
      <w:r>
        <w:t>Answers questions about holdings, goals, approvals, orders and connected institutions, and explains what needs attention next.</w:t>
      </w:r>
    </w:p>
    <w:p>
      <w:pPr>
        <w:keepLines/>
        <w:spacing w:after="180"/>
        <w:ind w:left="230"/>
      </w:pPr>
      <w:r>
        <w:rPr>
          <w:b/>
        </w:rPr>
        <w:t>Produces:</w:t>
      </w:r>
      <w:r>
        <w:t xml:space="preserve"> A readable account summary and next-step guidance.</w:t>
      </w:r>
    </w:p>
    <w:p>
      <w:pPr>
        <w:pStyle w:val="CalloutLabel"/>
        <w:spacing w:before="160" w:after="20"/>
        <w:ind w:left="230" w:right="115"/>
        <w:shd w:fill="EAF5F2"/>
        <w:pBdr>
          <w:top w:val="single" w:sz="6" w:space="5" w:color="CDD8D5"/>
          <w:start w:val="single" w:sz="18" w:space="5" w:color="2F8F83"/>
          <w:end w:val="single" w:sz="6" w:space="5" w:color="CDD8D5"/>
        </w:pBdr>
      </w:pPr>
      <w:r>
        <w:t>HOW THEY WORK TOGETHER</w:t>
      </w:r>
    </w:p>
    <w:p>
      <w:pPr>
        <w:pStyle w:val="CalloutBody"/>
        <w:spacing w:before="0" w:after="200"/>
        <w:ind w:left="230" w:right="115"/>
        <w:shd w:fill="EAF5F2"/>
        <w:pBdr>
          <w:bottom w:val="single" w:sz="6" w:space="5" w:color="CDD8D5"/>
          <w:start w:val="single" w:sz="18" w:space="5" w:color="2F8F83"/>
          <w:end w:val="single" w:sz="6" w:space="5" w:color="CDD8D5"/>
        </w:pBdr>
      </w:pPr>
      <w:r>
        <w:t>Each specialist hands a clear result to the next. A later specialist cannot erase an earlier concern. The final explanation shows the sequence so the person can see not only what was recommended, but why.</w:t>
      </w:r>
    </w:p>
    <w:p>
      <w:pPr>
        <w:spacing w:after="60"/>
      </w:pPr>
    </w:p>
    <w:p>
      <w:pPr>
        <w:spacing w:after="60"/>
      </w:pPr>
      <w:r/>
    </w:p>
    <w:p>
      <w:pPr>
        <w:pStyle w:val="Heading1"/>
        <w:keepNext/>
        <w:keepLines/>
        <w:spacing w:before="320" w:after="200"/>
        <w:ind w:left="202" w:right="86"/>
        <w:shd w:fill="173B3A"/>
      </w:pPr>
      <w:r>
        <w:t>When the normal journey changes</w:t>
      </w:r>
    </w:p>
    <w:p>
      <w:pPr>
        <w:pStyle w:val="Heading2"/>
        <w:keepNext/>
        <w:keepLines/>
        <w:spacing w:before="220" w:after="100"/>
      </w:pPr>
      <w:r>
        <w:t>No suitable product is found</w:t>
      </w:r>
    </w:p>
    <w:p>
      <w:pPr>
        <w:keepNext/>
        <w:widowControl/>
        <w:spacing w:before="0" w:after="110" w:line="283" w:lineRule="auto"/>
      </w:pPr>
      <w:r>
        <w:t>The agent explains which stage stopped the candidates. It may identify a missing goal detail, a concentration concern, a limit, weak evidence or incomplete compliance readiness. It does not substitute a weaker product just to produce an answer.</w:t>
      </w:r>
    </w:p>
    <w:p>
      <w:pPr>
        <w:pStyle w:val="Heading2"/>
        <w:keepNext/>
        <w:keepLines/>
        <w:spacing w:before="220" w:after="100"/>
      </w:pPr>
      <w:r>
        <w:t>The same product was recently proposed or traded</w:t>
      </w:r>
    </w:p>
    <w:p>
      <w:pPr>
        <w:keepNext/>
        <w:widowControl/>
        <w:spacing w:before="0" w:after="110" w:line="283" w:lineRule="auto"/>
      </w:pPr>
      <w:r>
        <w:t>The product rests for a period. This prevents repeated approval cards and gives the person time to act or allow the earlier activity to settle.</w:t>
      </w:r>
    </w:p>
    <w:p>
      <w:pPr>
        <w:pStyle w:val="Heading2"/>
        <w:keepNext/>
        <w:keepLines/>
        <w:spacing w:before="220" w:after="100"/>
      </w:pPr>
      <w:r>
        <w:t>Research contains a contradiction</w:t>
      </w:r>
    </w:p>
    <w:p>
      <w:pPr>
        <w:keepNext/>
        <w:widowControl/>
        <w:spacing w:before="0" w:after="110" w:line="283" w:lineRule="auto"/>
      </w:pPr>
      <w:r>
        <w:t>The candidate is removed from consideration. The contradiction remains visible in the record so it cannot be quietly ignored later.</w:t>
      </w:r>
    </w:p>
    <w:p>
      <w:pPr>
        <w:pStyle w:val="Heading2"/>
        <w:keepNext/>
        <w:keepLines/>
        <w:spacing w:before="220" w:after="100"/>
      </w:pPr>
      <w:r>
        <w:t>Information cannot be confirmed</w:t>
      </w:r>
    </w:p>
    <w:p>
      <w:pPr>
        <w:keepNext/>
        <w:widowControl/>
        <w:spacing w:before="0" w:after="110" w:line="283" w:lineRule="auto"/>
      </w:pPr>
      <w:r>
        <w:t>The agent labels the gap. For ordinary product research, the candidate may be treated cautiously or passed over. For compliance readiness, the process stops.</w:t>
      </w:r>
    </w:p>
    <w:p>
      <w:pPr>
        <w:pStyle w:val="Heading2"/>
        <w:keepNext/>
        <w:keepLines/>
        <w:spacing w:before="220" w:after="100"/>
      </w:pPr>
      <w:r>
        <w:t>The person changes a limit</w:t>
      </w:r>
    </w:p>
    <w:p>
      <w:pPr>
        <w:keepNext/>
        <w:widowControl/>
        <w:spacing w:before="0" w:after="110" w:line="283" w:lineRule="auto"/>
      </w:pPr>
      <w:r>
        <w:t>Every later proposal uses the new limit. A card that was already waiting is checked again before an order can be created.</w:t>
      </w:r>
    </w:p>
    <w:p>
      <w:pPr>
        <w:pStyle w:val="Heading2"/>
        <w:keepNext/>
        <w:keepLines/>
        <w:spacing w:before="220" w:after="100"/>
      </w:pPr>
      <w:r>
        <w:t>The listing firm pauses or withdraws a product</w:t>
      </w:r>
    </w:p>
    <w:p>
      <w:pPr>
        <w:keepNext/>
        <w:widowControl/>
        <w:spacing w:before="0" w:after="110" w:line="283" w:lineRule="auto"/>
      </w:pPr>
      <w:r>
        <w:t>The product is no longer offered. An older approval cannot be used to route an order for a product that is no longer live.</w:t>
      </w:r>
    </w:p>
    <w:p>
      <w:pPr>
        <w:pStyle w:val="Heading2"/>
        <w:keepNext/>
        <w:keepLines/>
        <w:spacing w:before="220" w:after="100"/>
      </w:pPr>
      <w:r>
        <w:t>The licensed firm declines</w:t>
      </w:r>
    </w:p>
    <w:p>
      <w:pPr>
        <w:keepNext/>
        <w:widowControl/>
        <w:spacing w:before="0" w:after="110" w:line="283" w:lineRule="auto"/>
      </w:pPr>
      <w:r>
        <w:t>The order or onboarding request stops. The person's view shows the declined status and the firm's reason where one is provided.</w:t>
      </w:r>
    </w:p>
    <w:p>
      <w:pPr>
        <w:pStyle w:val="Heading2"/>
        <w:keepNext/>
        <w:keepLines/>
        <w:spacing w:before="220" w:after="100"/>
      </w:pPr>
      <w:r>
        <w:t>The firm has not reported a final figure</w:t>
      </w:r>
    </w:p>
    <w:p>
      <w:pPr>
        <w:keepNext/>
        <w:widowControl/>
        <w:spacing w:before="0" w:after="110" w:line="283" w:lineRule="auto"/>
      </w:pPr>
      <w:r>
        <w:t>The figure remains unreported. The agent does not convert an estimate into a settlement price, quantity or fee.</w:t>
      </w:r>
    </w:p>
    <w:p>
      <w:pPr>
        <w:spacing w:after="60"/>
      </w:pPr>
      <w:r/>
    </w:p>
    <w:p>
      <w:pPr>
        <w:pStyle w:val="Heading1"/>
        <w:keepNext/>
        <w:keepLines/>
        <w:spacing w:before="320" w:after="200"/>
        <w:ind w:left="202" w:right="86"/>
        <w:shd w:fill="173B3A"/>
        <w:pageBreakBefore/>
      </w:pPr>
      <w:r>
        <w:t>What the agents will and will not do</w:t>
      </w:r>
    </w:p>
    <w:p>
      <w:pPr>
        <w:pStyle w:val="Heading2"/>
        <w:keepNext/>
        <w:keepLines/>
        <w:spacing w:before="220" w:after="100"/>
      </w:pPr>
      <w:r>
        <w:t>They will</w:t>
      </w:r>
    </w:p>
    <w:p>
      <w:pPr>
        <w:pStyle w:val="ListBullet"/>
        <w:keepNext/>
        <w:widowControl/>
        <w:spacing w:before="0" w:after="110" w:line="283" w:lineRule="auto"/>
      </w:pPr>
      <w:r>
        <w:t>Use the person's confirmed goals, holdings, risk information and limits.</w:t>
      </w:r>
    </w:p>
    <w:p>
      <w:pPr>
        <w:pStyle w:val="ListBullet"/>
        <w:widowControl/>
        <w:spacing w:before="0" w:after="110" w:line="283" w:lineRule="auto"/>
      </w:pPr>
      <w:r>
        <w:t>Search, research, compare, screen and explain possible investments.</w:t>
      </w:r>
    </w:p>
    <w:p>
      <w:pPr>
        <w:pStyle w:val="ListBullet"/>
        <w:widowControl/>
        <w:spacing w:before="0" w:after="110" w:line="283" w:lineRule="auto"/>
      </w:pPr>
      <w:r>
        <w:t>Show evidence strength, concerns, rejections and missing information.</w:t>
      </w:r>
    </w:p>
    <w:p>
      <w:pPr>
        <w:pStyle w:val="ListBullet"/>
        <w:widowControl/>
        <w:spacing w:before="0" w:after="110" w:line="283" w:lineRule="auto"/>
      </w:pPr>
      <w:r>
        <w:t>Apply KYC and AML readiness checks before coordination.</w:t>
      </w:r>
    </w:p>
    <w:p>
      <w:pPr>
        <w:pStyle w:val="ListBullet"/>
        <w:widowControl/>
        <w:spacing w:before="0" w:after="110" w:line="283" w:lineRule="auto"/>
      </w:pPr>
      <w:r>
        <w:t>Compare regional opportunities with similar overseas alternatives when useful.</w:t>
      </w:r>
    </w:p>
    <w:p>
      <w:pPr>
        <w:pStyle w:val="ListBullet"/>
        <w:widowControl/>
        <w:spacing w:before="0" w:after="110" w:line="283" w:lineRule="auto"/>
      </w:pPr>
      <w:r>
        <w:t>Prepare a proposal for the person's decision.</w:t>
      </w:r>
    </w:p>
    <w:p>
      <w:pPr>
        <w:pStyle w:val="ListBullet"/>
        <w:widowControl/>
        <w:spacing w:before="0" w:after="110" w:line="283" w:lineRule="auto"/>
      </w:pPr>
      <w:r>
        <w:t>Track the institution's response and final settlement information.</w:t>
      </w:r>
    </w:p>
    <w:p>
      <w:pPr>
        <w:pStyle w:val="Heading2"/>
        <w:keepNext/>
        <w:keepLines/>
        <w:spacing w:before="220" w:after="100"/>
      </w:pPr>
      <w:r>
        <w:t>They will not</w:t>
      </w:r>
    </w:p>
    <w:p>
      <w:pPr>
        <w:pStyle w:val="ListBullet"/>
        <w:keepNext/>
        <w:widowControl/>
        <w:spacing w:before="0" w:after="110" w:line="283" w:lineRule="auto"/>
      </w:pPr>
      <w:r>
        <w:t>Hold the person's cash or investments.</w:t>
      </w:r>
    </w:p>
    <w:p>
      <w:pPr>
        <w:pStyle w:val="ListBullet"/>
        <w:widowControl/>
        <w:spacing w:before="0" w:after="110" w:line="283" w:lineRule="auto"/>
      </w:pPr>
      <w:r>
        <w:t>Approve a proposal on the person's behalf.</w:t>
      </w:r>
    </w:p>
    <w:p>
      <w:pPr>
        <w:pStyle w:val="ListBullet"/>
        <w:widowControl/>
        <w:spacing w:before="0" w:after="110" w:line="283" w:lineRule="auto"/>
      </w:pPr>
      <w:r>
        <w:t>Execute, custody or settle an investment.</w:t>
      </w:r>
    </w:p>
    <w:p>
      <w:pPr>
        <w:pStyle w:val="ListBullet"/>
        <w:widowControl/>
        <w:spacing w:before="0" w:after="110" w:line="283" w:lineRule="auto"/>
      </w:pPr>
      <w:r>
        <w:t>Replace the licensed institution's final KYC, AML or suitability decision.</w:t>
      </w:r>
    </w:p>
    <w:p>
      <w:pPr>
        <w:pStyle w:val="ListBullet"/>
        <w:widowControl/>
        <w:spacing w:before="0" w:after="110" w:line="283" w:lineRule="auto"/>
      </w:pPr>
      <w:r>
        <w:t>Invent missing product facts, fees, taxes, returns, liquidity claims or settlement figures.</w:t>
      </w:r>
    </w:p>
    <w:p>
      <w:pPr>
        <w:pStyle w:val="ListBullet"/>
        <w:widowControl/>
        <w:spacing w:before="0" w:after="110" w:line="283" w:lineRule="auto"/>
      </w:pPr>
      <w:r>
        <w:t>Hide a rejected candidate or smooth over contradicted evidence.</w:t>
      </w:r>
    </w:p>
    <w:p>
      <w:pPr>
        <w:pStyle w:val="ListBullet"/>
        <w:widowControl/>
        <w:spacing w:before="0" w:after="110" w:line="283" w:lineRule="auto"/>
      </w:pPr>
      <w:r>
        <w:t>Assume that a regional investment is automatically better than a United States, Canadian or United Kingdom alternative.</w:t>
      </w:r>
    </w:p>
    <w:p>
      <w:pPr>
        <w:pStyle w:val="CalloutLabel"/>
        <w:spacing w:before="160" w:after="20"/>
        <w:ind w:left="230" w:right="115"/>
        <w:shd w:fill="EAF5F2"/>
        <w:pBdr>
          <w:top w:val="single" w:sz="6" w:space="5" w:color="CDD8D5"/>
          <w:start w:val="single" w:sz="18" w:space="5" w:color="2F8F83"/>
          <w:end w:val="single" w:sz="6" w:space="5" w:color="CDD8D5"/>
        </w:pBdr>
      </w:pPr>
      <w:r>
        <w:t>THE SIMPLE TEST</w:t>
      </w:r>
    </w:p>
    <w:p>
      <w:pPr>
        <w:pStyle w:val="CalloutBody"/>
        <w:spacing w:before="0" w:after="200"/>
        <w:ind w:left="230" w:right="115"/>
        <w:shd w:fill="EAF5F2"/>
        <w:pBdr>
          <w:bottom w:val="single" w:sz="6" w:space="5" w:color="CDD8D5"/>
          <w:start w:val="single" w:sz="18" w:space="5" w:color="2F8F83"/>
          <w:end w:val="single" w:sz="6" w:space="5" w:color="CDD8D5"/>
        </w:pBdr>
      </w:pPr>
      <w:r>
        <w:t>If an action would move money, create a final investment decision, complete a regulated approval or state an unconfirmed fact as certain, it belongs to the person or the licensed institution - not to the agent.</w:t>
      </w:r>
    </w:p>
    <w:p>
      <w:pPr>
        <w:spacing w:after="60"/>
      </w:pPr>
    </w:p>
    <w:p>
      <w:pPr>
        <w:pStyle w:val="Heading2"/>
        <w:keepNext/>
        <w:keepLines/>
        <w:spacing w:before="220" w:after="100"/>
      </w:pPr>
      <w:r>
        <w:t>What is recorded along the way</w:t>
      </w:r>
    </w:p>
    <w:p>
      <w:pPr>
        <w:keepNext/>
        <w:widowControl/>
        <w:spacing w:before="0" w:after="110" w:line="283" w:lineRule="auto"/>
      </w:pPr>
      <w:r>
        <w:t>The journey keeps a readable history of the candidates considered, the evidence reviewed, the fit and limits results, the KYC and AML readiness result, the proposed amount, the person's approval or rejection, the institution's response and the final settlement facts. This allows an investor, partner or reviewer to follow the decision from beginning to end.</w:t>
      </w:r>
    </w:p>
    <w:p>
      <w:pPr>
        <w:spacing w:after="60"/>
      </w:pPr>
      <w:r/>
    </w:p>
    <w:p>
      <w:pPr>
        <w:pStyle w:val="Heading1"/>
        <w:keepNext/>
        <w:keepLines/>
        <w:spacing w:before="320" w:after="200"/>
        <w:ind w:left="202" w:right="86"/>
        <w:shd w:fill="173B3A"/>
        <w:pageBreakBefore/>
      </w:pPr>
      <w:r>
        <w:t>Plain-language glossary</w:t>
      </w:r>
    </w:p>
    <w:tbl>
      <w:tblPr>
        <w:tblW w:type="dxa" w:w="9360"/>
        <w:jc w:val="left"/>
        <w:tblLook w:firstColumn="1" w:firstRow="1" w:lastColumn="0" w:lastRow="0" w:noHBand="0" w:noVBand="1" w:val="04A0"/>
        <w:tblInd w:w="120" w:type="dxa"/>
        <w:tblLayout w:type="fixed"/>
        <w:tblBorders>
          <w:top w:val="single" w:sz="5" w:color="CDD8D5"/>
          <w:bottom w:val="single" w:sz="5" w:color="CDD8D5"/>
          <w:start w:val="single" w:sz="5" w:color="CDD8D5"/>
          <w:end w:val="single" w:sz="5" w:color="CDD8D5"/>
          <w:insideH w:val="single" w:sz="5" w:color="CDD8D5"/>
          <w:insideV w:val="single" w:sz="5" w:color="CDD8D5"/>
        </w:tblBorders>
      </w:tblPr>
      <w:tblGrid>
        <w:gridCol w:w="2520"/>
        <w:gridCol w:w="6840"/>
      </w:tblGrid>
      <w:tr>
        <w:trPr>
          <w:tblHeader/>
          <w:cantSplit/>
        </w:trPr>
        <w:tc>
          <w:tcPr>
            <w:tcW w:type="dxa" w:w="2520"/>
            <w:tcMar>
              <w:top w:w="110" w:type="dxa"/>
              <w:start w:w="120" w:type="dxa"/>
              <w:bottom w:w="110" w:type="dxa"/>
              <w:end w:w="120" w:type="dxa"/>
            </w:tcMar>
            <w:vAlign w:val="center"/>
            <w:shd w:fill="173B3A"/>
          </w:tcPr>
          <w:p>
            <w:pPr>
              <w:pStyle w:val="TableHeader"/>
              <w:spacing w:before="0" w:after="0" w:line="240" w:lineRule="auto"/>
            </w:pPr>
            <w:r>
              <w:t>Term</w:t>
            </w:r>
          </w:p>
        </w:tc>
        <w:tc>
          <w:tcPr>
            <w:tcW w:type="dxa" w:w="6840"/>
            <w:tcMar>
              <w:top w:w="110" w:type="dxa"/>
              <w:start w:w="120" w:type="dxa"/>
              <w:bottom w:w="110" w:type="dxa"/>
              <w:end w:w="120" w:type="dxa"/>
            </w:tcMar>
            <w:vAlign w:val="center"/>
            <w:shd w:fill="173B3A"/>
          </w:tcPr>
          <w:p>
            <w:pPr>
              <w:pStyle w:val="TableHeader"/>
              <w:spacing w:before="0" w:after="0" w:line="240" w:lineRule="auto"/>
            </w:pPr>
            <w:r>
              <w:t>Meaning</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Agent</w:t>
            </w:r>
          </w:p>
        </w:tc>
        <w:tc>
          <w:tcPr>
            <w:tcW w:type="dxa" w:w="6840"/>
            <w:tcMar>
              <w:top w:w="110" w:type="dxa"/>
              <w:start w:w="120" w:type="dxa"/>
              <w:bottom w:w="110" w:type="dxa"/>
              <w:end w:w="120" w:type="dxa"/>
            </w:tcMar>
            <w:vAlign w:val="center"/>
            <w:shd w:fill="FFFFFF"/>
          </w:tcPr>
          <w:p>
            <w:pPr>
              <w:pStyle w:val="TableBody"/>
              <w:spacing w:before="0" w:after="0" w:line="254" w:lineRule="auto"/>
            </w:pPr>
            <w:r>
              <w:t>A digital specialist that performs one part of the preparation and explains its result.</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Approval card</w:t>
            </w:r>
          </w:p>
        </w:tc>
        <w:tc>
          <w:tcPr>
            <w:tcW w:type="dxa" w:w="6840"/>
            <w:tcMar>
              <w:top w:w="110" w:type="dxa"/>
              <w:start w:w="120" w:type="dxa"/>
              <w:bottom w:w="110" w:type="dxa"/>
              <w:end w:w="120" w:type="dxa"/>
            </w:tcMar>
            <w:vAlign w:val="center"/>
            <w:shd w:fill="F6F9F8"/>
          </w:tcPr>
          <w:p>
            <w:pPr>
              <w:pStyle w:val="TableBody"/>
              <w:spacing w:before="0" w:after="0" w:line="254" w:lineRule="auto"/>
            </w:pPr>
            <w:r>
              <w:t>The complete recommendation presented to the person for an approve-or-reject decision.</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Candidate</w:t>
            </w:r>
          </w:p>
        </w:tc>
        <w:tc>
          <w:tcPr>
            <w:tcW w:type="dxa" w:w="6840"/>
            <w:tcMar>
              <w:top w:w="110" w:type="dxa"/>
              <w:start w:w="120" w:type="dxa"/>
              <w:bottom w:w="110" w:type="dxa"/>
              <w:end w:w="120" w:type="dxa"/>
            </w:tcMar>
            <w:vAlign w:val="center"/>
            <w:shd w:fill="FFFFFF"/>
          </w:tcPr>
          <w:p>
            <w:pPr>
              <w:pStyle w:val="TableBody"/>
              <w:spacing w:before="0" w:after="0" w:line="254" w:lineRule="auto"/>
            </w:pPr>
            <w:r>
              <w:t>A product being considered before any recommendation is made.</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Cash floor</w:t>
            </w:r>
          </w:p>
        </w:tc>
        <w:tc>
          <w:tcPr>
            <w:tcW w:type="dxa" w:w="6840"/>
            <w:tcMar>
              <w:top w:w="110" w:type="dxa"/>
              <w:start w:w="120" w:type="dxa"/>
              <w:bottom w:w="110" w:type="dxa"/>
              <w:end w:w="120" w:type="dxa"/>
            </w:tcMar>
            <w:vAlign w:val="center"/>
            <w:shd w:fill="F6F9F8"/>
          </w:tcPr>
          <w:p>
            <w:pPr>
              <w:pStyle w:val="TableBody"/>
              <w:spacing w:before="0" w:after="0" w:line="254" w:lineRule="auto"/>
            </w:pPr>
            <w:r>
              <w:t>The minimum amount of cash the person has chosen to keep available.</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Contract note</w:t>
            </w:r>
          </w:p>
        </w:tc>
        <w:tc>
          <w:tcPr>
            <w:tcW w:type="dxa" w:w="6840"/>
            <w:tcMar>
              <w:top w:w="110" w:type="dxa"/>
              <w:start w:w="120" w:type="dxa"/>
              <w:bottom w:w="110" w:type="dxa"/>
              <w:end w:w="120" w:type="dxa"/>
            </w:tcMar>
            <w:vAlign w:val="center"/>
            <w:shd w:fill="FFFFFF"/>
          </w:tcPr>
          <w:p>
            <w:pPr>
              <w:pStyle w:val="TableBody"/>
              <w:spacing w:before="0" w:after="0" w:line="254" w:lineRule="auto"/>
            </w:pPr>
            <w:r>
              <w:t>The final transaction confirmation based on the settlement information reported by the licensed institution.</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Executing firm</w:t>
            </w:r>
          </w:p>
        </w:tc>
        <w:tc>
          <w:tcPr>
            <w:tcW w:type="dxa" w:w="6840"/>
            <w:tcMar>
              <w:top w:w="110" w:type="dxa"/>
              <w:start w:w="120" w:type="dxa"/>
              <w:bottom w:w="110" w:type="dxa"/>
              <w:end w:w="120" w:type="dxa"/>
            </w:tcMar>
            <w:vAlign w:val="center"/>
            <w:shd w:fill="F6F9F8"/>
          </w:tcPr>
          <w:p>
            <w:pPr>
              <w:pStyle w:val="TableBody"/>
              <w:spacing w:before="0" w:after="0" w:line="254" w:lineRule="auto"/>
            </w:pPr>
            <w:r>
              <w:t>The licensed financial institution that accepts or declines the instruction, completes the transaction, holds the asset and settles it.</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KYC</w:t>
            </w:r>
          </w:p>
        </w:tc>
        <w:tc>
          <w:tcPr>
            <w:tcW w:type="dxa" w:w="6840"/>
            <w:tcMar>
              <w:top w:w="110" w:type="dxa"/>
              <w:start w:w="120" w:type="dxa"/>
              <w:bottom w:w="110" w:type="dxa"/>
              <w:end w:w="120" w:type="dxa"/>
            </w:tcMar>
            <w:vAlign w:val="center"/>
            <w:shd w:fill="FFFFFF"/>
          </w:tcPr>
          <w:p>
            <w:pPr>
              <w:pStyle w:val="TableBody"/>
              <w:spacing w:before="0" w:after="0" w:line="254" w:lineRule="auto"/>
            </w:pPr>
            <w:r>
              <w:t>Know Your Customer: the institution's process for confirming who the client is and understanding the relationship.</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AML</w:t>
            </w:r>
          </w:p>
        </w:tc>
        <w:tc>
          <w:tcPr>
            <w:tcW w:type="dxa" w:w="6840"/>
            <w:tcMar>
              <w:top w:w="110" w:type="dxa"/>
              <w:start w:w="120" w:type="dxa"/>
              <w:bottom w:w="110" w:type="dxa"/>
              <w:end w:w="120" w:type="dxa"/>
            </w:tcMar>
            <w:vAlign w:val="center"/>
            <w:shd w:fill="F6F9F8"/>
          </w:tcPr>
          <w:p>
            <w:pPr>
              <w:pStyle w:val="TableBody"/>
              <w:spacing w:before="0" w:after="0" w:line="254" w:lineRule="auto"/>
            </w:pPr>
            <w:r>
              <w:t>Anti-money laundering: the checks and reviews used to understand the client and the source and purpose of funds, with the licensed institution retaining the final decision.</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PEP</w:t>
            </w:r>
          </w:p>
        </w:tc>
        <w:tc>
          <w:tcPr>
            <w:tcW w:type="dxa" w:w="6840"/>
            <w:tcMar>
              <w:top w:w="110" w:type="dxa"/>
              <w:start w:w="120" w:type="dxa"/>
              <w:bottom w:w="110" w:type="dxa"/>
              <w:end w:w="120" w:type="dxa"/>
            </w:tcMar>
            <w:vAlign w:val="center"/>
            <w:shd w:fill="FFFFFF"/>
          </w:tcPr>
          <w:p>
            <w:pPr>
              <w:pStyle w:val="TableBody"/>
              <w:spacing w:before="0" w:after="0" w:line="254" w:lineRule="auto"/>
            </w:pPr>
            <w:r>
              <w:t>Politically exposed person: a status the person declares and the institution considers when deciding whether enhanced review is required.</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Portfolio fit</w:t>
            </w:r>
          </w:p>
        </w:tc>
        <w:tc>
          <w:tcPr>
            <w:tcW w:type="dxa" w:w="6840"/>
            <w:tcMar>
              <w:top w:w="110" w:type="dxa"/>
              <w:start w:w="120" w:type="dxa"/>
              <w:bottom w:w="110" w:type="dxa"/>
              <w:end w:w="120" w:type="dxa"/>
            </w:tcMar>
            <w:vAlign w:val="center"/>
            <w:shd w:fill="F6F9F8"/>
          </w:tcPr>
          <w:p>
            <w:pPr>
              <w:pStyle w:val="TableBody"/>
              <w:spacing w:before="0" w:after="0" w:line="254" w:lineRule="auto"/>
            </w:pPr>
            <w:r>
              <w:t>How well a product supports this person's existing holdings and goals.</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Settlement</w:t>
            </w:r>
          </w:p>
        </w:tc>
        <w:tc>
          <w:tcPr>
            <w:tcW w:type="dxa" w:w="6840"/>
            <w:tcMar>
              <w:top w:w="110" w:type="dxa"/>
              <w:start w:w="120" w:type="dxa"/>
              <w:bottom w:w="110" w:type="dxa"/>
              <w:end w:w="120" w:type="dxa"/>
            </w:tcMar>
            <w:vAlign w:val="center"/>
            <w:shd w:fill="FFFFFF"/>
          </w:tcPr>
          <w:p>
            <w:pPr>
              <w:pStyle w:val="TableBody"/>
              <w:spacing w:before="0" w:after="0" w:line="254" w:lineRule="auto"/>
            </w:pPr>
            <w:r>
              <w:t>The point at which the institution completes the transaction and reports the final price, quantity, fee and date.</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Shortlist</w:t>
            </w:r>
          </w:p>
        </w:tc>
        <w:tc>
          <w:tcPr>
            <w:tcW w:type="dxa" w:w="6840"/>
            <w:tcMar>
              <w:top w:w="110" w:type="dxa"/>
              <w:start w:w="120" w:type="dxa"/>
              <w:bottom w:w="110" w:type="dxa"/>
              <w:end w:w="120" w:type="dxa"/>
            </w:tcMar>
            <w:vAlign w:val="center"/>
            <w:shd w:fill="F6F9F8"/>
          </w:tcPr>
          <w:p>
            <w:pPr>
              <w:pStyle w:val="TableBody"/>
              <w:spacing w:before="0" w:after="0" w:line="254" w:lineRule="auto"/>
            </w:pPr>
            <w:r>
              <w:t>The smaller group of candidates that advance from the marketplace search into detailed review.</w:t>
            </w:r>
          </w:p>
        </w:tc>
      </w:tr>
      <w:tr>
        <w:trPr>
          <w:cantSplit/>
        </w:trPr>
        <w:tc>
          <w:tcPr>
            <w:tcW w:type="dxa" w:w="2520"/>
            <w:tcMar>
              <w:top w:w="110" w:type="dxa"/>
              <w:start w:w="120" w:type="dxa"/>
              <w:bottom w:w="110" w:type="dxa"/>
              <w:end w:w="120" w:type="dxa"/>
            </w:tcMar>
            <w:vAlign w:val="center"/>
            <w:shd w:fill="FFFFFF"/>
          </w:tcPr>
          <w:p>
            <w:pPr>
              <w:pStyle w:val="TableBody"/>
              <w:spacing w:before="0" w:after="0" w:line="254" w:lineRule="auto"/>
            </w:pPr>
            <w:r>
              <w:t>Source of funds</w:t>
            </w:r>
          </w:p>
        </w:tc>
        <w:tc>
          <w:tcPr>
            <w:tcW w:type="dxa" w:w="6840"/>
            <w:tcMar>
              <w:top w:w="110" w:type="dxa"/>
              <w:start w:w="120" w:type="dxa"/>
              <w:bottom w:w="110" w:type="dxa"/>
              <w:end w:w="120" w:type="dxa"/>
            </w:tcMar>
            <w:vAlign w:val="center"/>
            <w:shd w:fill="FFFFFF"/>
          </w:tcPr>
          <w:p>
            <w:pPr>
              <w:pStyle w:val="TableBody"/>
              <w:spacing w:before="0" w:after="0" w:line="254" w:lineRule="auto"/>
            </w:pPr>
            <w:r>
              <w:t>The person's explanation and supporting evidence showing where the money for the investment comes from.</w:t>
            </w:r>
          </w:p>
        </w:tc>
      </w:tr>
      <w:tr>
        <w:trPr>
          <w:cantSplit/>
        </w:trPr>
        <w:tc>
          <w:tcPr>
            <w:tcW w:type="dxa" w:w="2520"/>
            <w:tcMar>
              <w:top w:w="110" w:type="dxa"/>
              <w:start w:w="120" w:type="dxa"/>
              <w:bottom w:w="110" w:type="dxa"/>
              <w:end w:w="120" w:type="dxa"/>
            </w:tcMar>
            <w:vAlign w:val="center"/>
            <w:shd w:fill="F6F9F8"/>
          </w:tcPr>
          <w:p>
            <w:pPr>
              <w:pStyle w:val="TableBody"/>
              <w:spacing w:before="0" w:after="0" w:line="254" w:lineRule="auto"/>
            </w:pPr>
            <w:r>
              <w:t>Suitability</w:t>
            </w:r>
          </w:p>
        </w:tc>
        <w:tc>
          <w:tcPr>
            <w:tcW w:type="dxa" w:w="6840"/>
            <w:tcMar>
              <w:top w:w="110" w:type="dxa"/>
              <w:start w:w="120" w:type="dxa"/>
              <w:bottom w:w="110" w:type="dxa"/>
              <w:end w:w="120" w:type="dxa"/>
            </w:tcMar>
            <w:vAlign w:val="center"/>
            <w:shd w:fill="F6F9F8"/>
          </w:tcPr>
          <w:p>
            <w:pPr>
              <w:pStyle w:val="TableBody"/>
              <w:spacing w:before="0" w:after="0" w:line="254" w:lineRule="auto"/>
            </w:pPr>
            <w:r>
              <w:t>Whether the product and amount are consistent with the person's risk band and active limits.</w:t>
            </w:r>
          </w:p>
        </w:tc>
      </w:tr>
    </w:tbl>
    <w:p>
      <w:pPr>
        <w:spacing w:after="60"/>
      </w:pPr>
    </w:p>
    <w:p>
      <w:pPr>
        <w:pStyle w:val="CalloutLabel"/>
        <w:spacing w:before="160" w:after="20"/>
        <w:ind w:left="230" w:right="115"/>
        <w:shd w:fill="EAF5F2"/>
        <w:pBdr>
          <w:top w:val="single" w:sz="6" w:space="5" w:color="CDD8D5"/>
          <w:start w:val="single" w:sz="18" w:space="5" w:color="2F8F83"/>
          <w:end w:val="single" w:sz="6" w:space="5" w:color="CDD8D5"/>
        </w:pBdr>
      </w:pPr>
      <w:r>
        <w:t>IN ONE SENTENCE</w:t>
      </w:r>
    </w:p>
    <w:p>
      <w:pPr>
        <w:pStyle w:val="CalloutBody"/>
        <w:spacing w:before="0" w:after="200"/>
        <w:ind w:left="230" w:right="115"/>
        <w:shd w:fill="EAF5F2"/>
        <w:pBdr>
          <w:bottom w:val="single" w:sz="6" w:space="5" w:color="CDD8D5"/>
          <w:start w:val="single" w:sz="18" w:space="5" w:color="2F8F83"/>
          <w:end w:val="single" w:sz="6" w:space="5" w:color="CDD8D5"/>
        </w:pBdr>
      </w:pPr>
      <w:r>
        <w:t>CCN's agents prepare an investment decision carefully and transparently; the person chooses, and the licensed institution performs the regulated review and completes the transaction.</w:t>
      </w:r>
    </w:p>
    <w:p>
      <w:pPr>
        <w:spacing w:after="60"/>
      </w:pPr>
    </w:p>
    <w:sectPr w:rsidR="00FC693F" w:rsidRPr="0006063C" w:rsidSect="00034616">
      <w:headerReference w:type="default" r:id="rId9"/>
      <w:footerReference w:type="default" r:id="rId10"/>
      <w:headerReference w:type="first" r:id="rId11"/>
      <w:footerReference w:type="first" r:id="rId12"/>
      <w:pgSz w:w="12240" w:h="15840"/>
      <w:pgMar w:top="1181" w:right="1296" w:bottom="1123" w:left="1296"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rFonts w:ascii="Calibri" w:hAnsi="Calibri" w:eastAsia="Calibri"/>
        <w:b w:val="0"/>
        <w:color w:val="5E6B68"/>
        <w:sz w:val="17"/>
        <w:u w:val="none"/>
      </w:rPr>
      <w:t>CARIBBEAN CAPITAL NETWORK</w:t>
    </w:r>
    <w:r>
      <w:rPr>
        <w:rFonts w:ascii="Calibri" w:hAnsi="Calibri" w:eastAsia="Calibri"/>
        <w:color w:val="5E6B68"/>
        <w:sz w:val="17"/>
        <w:u w:val="none"/>
      </w:rPr>
      <w:tab/>
    </w:r>
    <w:r>
      <w:rPr>
        <w:rFonts w:ascii="Calibri" w:hAnsi="Calibri" w:eastAsia="Calibri"/>
        <w:color w:val="5E6B68"/>
        <w:sz w:val="17"/>
        <w:u w:val="none"/>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pPr>
    <w:r>
      <w:rPr>
        <w:rFonts w:ascii="Calibri" w:hAnsi="Calibri" w:eastAsia="Calibri"/>
        <w:b/>
        <w:color w:val="5E6B68"/>
        <w:sz w:val="17"/>
        <w:u w:val="none"/>
      </w:rPr>
      <w:t>CCN CAPITAL AGENTS</w:t>
    </w:r>
    <w:r>
      <w:rPr>
        <w:rFonts w:ascii="Calibri" w:hAnsi="Calibri" w:eastAsia="Calibri"/>
        <w:b w:val="0"/>
        <w:color w:val="5E6B68"/>
        <w:sz w:val="17"/>
        <w:u w:val="none"/>
      </w:rPr>
      <w:tab/>
      <w:t>PLAIN-LANGUAGE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10" w:line="283" w:lineRule="auto"/>
    </w:pPr>
    <w:rPr>
      <w:rFonts w:ascii="Calibri" w:hAnsi="Calibri"/>
      <w:b w:val="0"/>
      <w:color w:val="202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Calibri" w:hAnsi="Calibri"/>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F8F8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69" w:lineRule="auto" w:before="0"/>
      <w:ind w:left="490" w:hanging="259"/>
      <w:contextualSpacing/>
    </w:pPr>
    <w:rPr>
      <w:rFonts w:ascii="Calibri" w:hAnsi="Calibri"/>
      <w:b w:val="0"/>
      <w:color w:val="202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69" w:lineRule="auto" w:before="0"/>
      <w:ind w:left="490" w:hanging="259"/>
      <w:contextualSpacing/>
    </w:pPr>
    <w:rPr>
      <w:rFonts w:ascii="Calibri" w:hAnsi="Calibri"/>
      <w:b w:val="0"/>
      <w:color w:val="202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spacing w:after="240" w:before="0"/>
      <w:jc w:val="center"/>
    </w:pPr>
    <w:rPr>
      <w:rFonts w:ascii="Calibri" w:hAnsi="Calibri"/>
      <w:b/>
      <w:color w:val="B76A43"/>
      <w:sz w:val="19"/>
    </w:rPr>
  </w:style>
  <w:style w:type="paragraph" w:customStyle="1" w:styleId="GuideSubtitle">
    <w:name w:val="Guide Subtitle"/>
    <w:pPr>
      <w:keepNext/>
      <w:spacing w:after="480" w:line="276" w:lineRule="auto" w:before="0"/>
      <w:jc w:val="center"/>
    </w:pPr>
    <w:rPr>
      <w:rFonts w:ascii="Calibri" w:hAnsi="Calibri"/>
      <w:b w:val="0"/>
      <w:color w:val="2F8F83"/>
      <w:sz w:val="28"/>
    </w:rPr>
  </w:style>
  <w:style w:type="paragraph" w:customStyle="1" w:styleId="StepLabel">
    <w:name w:val="Step Label"/>
    <w:pPr>
      <w:keepNext/>
      <w:keepLines/>
      <w:spacing w:after="20" w:before="240"/>
    </w:pPr>
    <w:rPr>
      <w:rFonts w:ascii="Calibri" w:hAnsi="Calibri"/>
      <w:b/>
      <w:color w:val="B76A43"/>
      <w:sz w:val="18"/>
    </w:rPr>
  </w:style>
  <w:style w:type="paragraph" w:customStyle="1" w:styleId="CoverTitle">
    <w:name w:val="Cover Title"/>
    <w:pPr>
      <w:keepNext/>
      <w:spacing w:before="0" w:after="180"/>
      <w:jc w:val="center"/>
    </w:pPr>
    <w:rPr>
      <w:rFonts w:ascii="Calibri" w:hAnsi="Calibri"/>
      <w:b/>
      <w:color w:val="173B3A"/>
      <w:sz w:val="58"/>
    </w:rPr>
  </w:style>
  <w:style w:type="paragraph" w:customStyle="1" w:styleId="CalloutLabel">
    <w:name w:val="Callout Label"/>
    <w:pPr>
      <w:keepNext/>
      <w:keepLines/>
      <w:spacing w:before="160" w:after="20"/>
    </w:pPr>
    <w:rPr>
      <w:rFonts w:ascii="Calibri" w:hAnsi="Calibri"/>
      <w:b/>
      <w:color w:val="176D66"/>
      <w:sz w:val="18"/>
    </w:rPr>
  </w:style>
  <w:style w:type="paragraph" w:customStyle="1" w:styleId="CalloutBody">
    <w:name w:val="Callout Body"/>
    <w:pPr>
      <w:keepLines/>
      <w:spacing w:before="0" w:after="200" w:line="278" w:lineRule="auto"/>
    </w:pPr>
    <w:rPr>
      <w:rFonts w:ascii="Calibri" w:hAnsi="Calibri"/>
      <w:b w:val="0"/>
      <w:color w:val="202827"/>
      <w:sz w:val="20"/>
    </w:rPr>
  </w:style>
  <w:style w:type="paragraph" w:customStyle="1" w:styleId="StepDetail">
    <w:name w:val="Step Detail"/>
    <w:pPr>
      <w:keepLines/>
      <w:widowControl/>
      <w:spacing w:before="0" w:after="70" w:line="278" w:lineRule="auto"/>
      <w:ind w:left="259" w:right="58"/>
    </w:pPr>
    <w:rPr>
      <w:rFonts w:ascii="Calibri" w:hAnsi="Calibri"/>
      <w:b w:val="0"/>
      <w:color w:val="202827"/>
      <w:sz w:val="21"/>
    </w:rPr>
  </w:style>
  <w:style w:type="paragraph" w:customStyle="1" w:styleId="CoverMetadata">
    <w:name w:val="Cover Metadata"/>
    <w:pPr>
      <w:spacing w:before="0" w:after="60"/>
      <w:jc w:val="center"/>
    </w:pPr>
    <w:rPr>
      <w:rFonts w:ascii="Calibri" w:hAnsi="Calibri"/>
      <w:b w:val="0"/>
      <w:color w:val="5E6B68"/>
      <w:sz w:val="19"/>
    </w:rPr>
  </w:style>
  <w:style w:type="paragraph" w:customStyle="1" w:styleId="TableHeader">
    <w:name w:val="Table Header"/>
    <w:pPr>
      <w:spacing w:before="0" w:after="0"/>
    </w:pPr>
    <w:rPr>
      <w:rFonts w:ascii="Calibri" w:hAnsi="Calibri"/>
      <w:b/>
      <w:color w:val="FFFFFF"/>
      <w:sz w:val="19"/>
    </w:rPr>
  </w:style>
  <w:style w:type="paragraph" w:customStyle="1" w:styleId="TableBody">
    <w:name w:val="Table Body"/>
    <w:pPr>
      <w:spacing w:before="0" w:after="0" w:line="259" w:lineRule="auto"/>
    </w:pPr>
    <w:rPr>
      <w:rFonts w:ascii="Calibri" w:hAnsi="Calibri"/>
      <w:b w:val="0"/>
      <w:color w:val="202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CCN Capital Agents Work</dc:title>
  <dc:subject>Plain-language guide to the CCN agent journey</dc:subject>
  <dc:creator>Caribbean Capital Network</dc:creator>
  <cp:keywords>CCN, capital agent, KYC, AML, suitability, investor guide</cp:keywords>
  <dc:description>generated by python-docx</dc:description>
  <cp:lastModifiedBy/>
  <cp:revision>1</cp:revision>
  <dcterms:created xsi:type="dcterms:W3CDTF">2013-12-23T23:15:00Z</dcterms:created>
  <dcterms:modified xsi:type="dcterms:W3CDTF">2013-12-23T23:15:00Z</dcterms:modified>
  <cp:category/>
</cp:coreProperties>
</file>