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11:50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12:30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2 minuti)</w:t>
      </w:r>
      <w:r w:rsidDel="00000000" w:rsidR="00000000" w:rsidRPr="00000000">
        <w:rPr>
          <w:rtl w:val="0"/>
        </w:rPr>
        <w:t xml:space="preserve">: Controllo dello status dei task attivi, avvio nuovi task per il system design.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3 minuti): </w:t>
      </w:r>
      <w:r w:rsidDel="00000000" w:rsidR="00000000" w:rsidRPr="00000000">
        <w:rPr>
          <w:rtl w:val="0"/>
        </w:rPr>
        <w:t xml:space="preserve">Attivazione questionario status progetto e valutazioni personali su prima milestone (RAD).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paths” del RAD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Specifica dei design goal e analisi dei trade-off relativi ad almeno due coppie di design goal.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"Panoramica”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“Decomposizione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sottosistemi”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Definizione dell’architettura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2/11/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7A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